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70.jpg" ContentType="image/jpeg"/>
  <Override PartName="/word/media/rId85.jpg" ContentType="image/jpeg"/>
  <Override PartName="/word/media/rId91.jpg" ContentType="image/jpeg"/>
  <Override PartName="/word/media/rId88.jpg" ContentType="image/jpeg"/>
  <Override PartName="/word/media/rId23.jpg" ContentType="image/jpeg"/>
  <Override PartName="/word/media/rId26.jpg" ContentType="image/jpeg"/>
  <Override PartName="/word/media/rId29.jpg" ContentType="image/jpeg"/>
  <Override PartName="/word/media/rId82.jpg" ContentType="image/jpeg"/>
  <Override PartName="/word/media/rId73.jpg" ContentType="image/jpeg"/>
  <Override PartName="/word/media/rId79.jpg" ContentType="image/jpeg"/>
  <Override PartName="/word/media/rId64.jpg" ContentType="image/jpeg"/>
  <Override PartName="/word/media/rId67.jpg" ContentType="image/jpeg"/>
  <Override PartName="/word/media/rId61.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Kotchen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ubiquitous features of the landscape. A large-scale understanding of their influence on hydrology is underdeveloped and therefore little is known about how ephemeral streams influence downstream water chemistry, creating potential issues for water quality policy</w:t>
      </w:r>
      <w:r>
        <w:t xml:space="preserve"> </w:t>
      </w:r>
      <w:r>
        <w:t xml:space="preserve">(</w:t>
      </w:r>
      <w:r>
        <w:rPr>
          <w:iCs/>
          <w:i/>
        </w:rPr>
        <w:t xml:space="preserve">1</w:t>
      </w:r>
      <w:r>
        <w:t xml:space="preserve">)</w:t>
      </w:r>
      <w:r>
        <w:t xml:space="preserve">. Here, we model ephemeral stream contributions to the entire contiguous U.S. network of 20,708,899 rivers, lakes, reservoirs, canals, and ditches, finding that they contribute on average 53% of the discharge exported from drainage networks, despite only flowing on average 34</w:t>
      </w:r>
      <w:r>
        <w:t xml:space="preserve"> </w:t>
      </w:r>
      <m:oMath>
        <m:r>
          <m:rPr>
            <m:sty m:val="p"/>
          </m:rPr>
          <m:t>±</m:t>
        </m:r>
      </m:oMath>
      <w:r>
        <w:t xml:space="preserve"> </w:t>
      </w:r>
      <w:r>
        <w:t xml:space="preserve">13 days a year. The ephemeral contribution is facilitated by small headwater streams, where on average 90% of headwater export is ephemeral. The ephemeral terrestrial-aquatic connection is therefore a substantial pathway through which pollution may enter the downstream perennial drainage network and degrade water quality.</w:t>
      </w:r>
    </w:p>
    <w:bookmarkEnd w:id="22"/>
    <w:bookmarkStart w:id="32" w:name="main-text"/>
    <w:p>
      <w:pPr>
        <w:pStyle w:val="Heading2"/>
      </w:pPr>
      <w:r>
        <w:t xml:space="preserve">Main Text</w:t>
      </w:r>
    </w:p>
    <w:p>
      <w:pPr>
        <w:pStyle w:val="FirstParagraph"/>
      </w:pPr>
      <w:r>
        <w:t xml:space="preserve">Streams transport nutrients, sediments, pollutants, and other solutes from the land surface to rivers, lakes, reservoirs, and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streams (e.g. headwaters) are often</w:t>
      </w:r>
      <w:r>
        <w:t xml:space="preserve"> </w:t>
      </w:r>
      <w:r>
        <w:t xml:space="preserve">‘</w:t>
      </w:r>
      <w:r>
        <w:t xml:space="preserve">ephemeral</w:t>
      </w:r>
      <w:r>
        <w:t xml:space="preserve">’</w:t>
      </w:r>
      <w:r>
        <w:t xml:space="preserve"> </w:t>
      </w:r>
      <w:r>
        <w:t xml:space="preserve">streams, which flow only in direct response to precipitation and are disconnected from groundwater year-round, unlike like larger downstream rivers. Non-perennial streams (which include ephemeral and intermittently dry rivers) account for over half of the global river network</w:t>
      </w:r>
      <w:r>
        <w:t xml:space="preserve"> </w:t>
      </w:r>
      <w:r>
        <w:t xml:space="preserve">(</w:t>
      </w:r>
      <w:r>
        <w:rPr>
          <w:iCs/>
          <w:i/>
        </w:rPr>
        <w:t xml:space="preserve">9</w:t>
      </w:r>
      <w:r>
        <w:t xml:space="preserve">)</w:t>
      </w:r>
      <w:r>
        <w:t xml:space="preserve">. While much recent work has developed classification models to identify non-perennial streams</w:t>
      </w:r>
      <w:r>
        <w:t xml:space="preserve"> </w:t>
      </w:r>
      <w:r>
        <w:t xml:space="preserve">(</w:t>
      </w:r>
      <w:r>
        <w:rPr>
          <w:iCs/>
          <w:i/>
        </w:rPr>
        <w:t xml:space="preserve">9</w:t>
      </w:r>
      <w:r>
        <w:t xml:space="preserve">–</w:t>
      </w:r>
      <w:r>
        <w:rPr>
          <w:iCs/>
          <w:i/>
        </w:rPr>
        <w:t xml:space="preserve">13</w:t>
      </w:r>
      <w:r>
        <w:t xml:space="preserve">)</w:t>
      </w:r>
      <w:r>
        <w:t xml:space="preserve">, nearly no work focused specifically on ephemeral streams</w:t>
      </w:r>
      <w:r>
        <w:t xml:space="preserve"> </w:t>
      </w:r>
      <w:r>
        <w:t xml:space="preserve">(</w:t>
      </w:r>
      <w:r>
        <w:rPr>
          <w:iCs/>
          <w:i/>
        </w:rPr>
        <w:t xml:space="preserve">13</w:t>
      </w:r>
      <w:r>
        <w:t xml:space="preserve">)</w:t>
      </w:r>
      <w:r>
        <w:t xml:space="preserve"> </w:t>
      </w:r>
      <w:r>
        <w:t xml:space="preserve">and all work stopped short of assessing the hydrological contributions of non-perennial streams to the overall drainage network at broad spatial scales. While it is regionally established that headwater streams contribute meaningfully to downstream water quantity and quality</w:t>
      </w:r>
      <w:r>
        <w:t xml:space="preserve"> </w:t>
      </w:r>
      <w:r>
        <w:t xml:space="preserve">(</w:t>
      </w:r>
      <w:r>
        <w:rPr>
          <w:iCs/>
          <w:i/>
        </w:rPr>
        <w:t xml:space="preserve">14</w:t>
      </w:r>
      <w:r>
        <w:t xml:space="preserve">,</w:t>
      </w:r>
      <w:r>
        <w:t xml:space="preserve"> </w:t>
      </w:r>
      <w:r>
        <w:rPr>
          <w:iCs/>
          <w:i/>
        </w:rPr>
        <w:t xml:space="preserve">15</w:t>
      </w:r>
      <w:r>
        <w:t xml:space="preserve">)</w:t>
      </w:r>
      <w:r>
        <w:t xml:space="preserve">, we presently have no explicit assessment of ephemeral contributions to global-scale hydrology, nor their potential water quality ramifications.</w:t>
      </w:r>
    </w:p>
    <w:p>
      <w:pPr>
        <w:pStyle w:val="BodyText"/>
      </w:pPr>
      <w:r>
        <w:t xml:space="preserve">This gap in knowledge is distinctly important in the United states, where ephemeral streams were recently removed from Clean Water Act (CWA) jurisdiction (along with</w:t>
      </w:r>
      <w:r>
        <w:t xml:space="preserve"> </w:t>
      </w:r>
      <w:r>
        <w:t xml:space="preserve">‘</w:t>
      </w:r>
      <w:r>
        <w:t xml:space="preserve">disconnected wetlands</w:t>
      </w:r>
      <w:r>
        <w:t xml:space="preserve">’</w:t>
      </w:r>
      <w:r>
        <w:t xml:space="preserve">)</w:t>
      </w:r>
      <w:r>
        <w:t xml:space="preserve"> </w:t>
      </w:r>
      <w:r>
        <w:t xml:space="preserve">(</w:t>
      </w:r>
      <w:r>
        <w:rPr>
          <w:iCs/>
          <w:i/>
        </w:rPr>
        <w:t xml:space="preserve">1</w:t>
      </w:r>
      <w:r>
        <w:t xml:space="preserve">)</w:t>
      </w:r>
      <w:r>
        <w:t xml:space="preserve">. The operational definition of WOTUS is a contentious topic in the United States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16</w:t>
      </w:r>
      <w:r>
        <w:t xml:space="preserve">)</w:t>
      </w:r>
      <w:r>
        <w:t xml:space="preserve">.</w:t>
      </w:r>
    </w:p>
    <w:p>
      <w:pPr>
        <w:pStyle w:val="BodyText"/>
      </w:pPr>
      <w:r>
        <w:t xml:space="preserve">In this context, here we use a simple geomorphic model to identify ephemeral streams by comparing long-term water table depths with streamline presence in 20,708,899 discrete streams, rivers, lakes, reservoirs, canals, and ditches across the contiguous United States (CONUS)</w:t>
      </w:r>
      <w:r>
        <w:t xml:space="preserve"> </w:t>
      </w:r>
      <w:r>
        <w:t xml:space="preserve">(</w:t>
      </w:r>
      <w:r>
        <w:rPr>
          <w:iCs/>
          <w:i/>
        </w:rPr>
        <w:t xml:space="preserve">17</w:t>
      </w:r>
      <w:r>
        <w:t xml:space="preserve">)</w:t>
      </w:r>
      <w:r>
        <w:t xml:space="preserve">. We then use published groundwater, discharge, runoff, precipitation, and network routing models</w:t>
      </w:r>
      <w:r>
        <w:t xml:space="preserve"> </w:t>
      </w:r>
      <w:r>
        <w:t xml:space="preserve">(</w:t>
      </w:r>
      <w:r>
        <w:rPr>
          <w:iCs/>
          <w:i/>
        </w:rPr>
        <w:t xml:space="preserve">18</w:t>
      </w:r>
      <w:r>
        <w:t xml:space="preserve">–</w:t>
      </w:r>
      <w:r>
        <w:rPr>
          <w:iCs/>
          <w:i/>
        </w:rPr>
        <w:t xml:space="preserve">22</w:t>
      </w:r>
      <w:r>
        <w:t xml:space="preserve">)</w:t>
      </w:r>
      <w:r>
        <w:t xml:space="preserve"> </w:t>
      </w:r>
      <w:r>
        <w:t xml:space="preserve">to quantify the fraction of each river’s mean annual discharge that was contributed by upstream ephemeral streams. We also quantify how frequently ephemeral streams flow</w:t>
      </w:r>
      <w:r>
        <w:t xml:space="preserve"> </w:t>
      </w:r>
      <w:r>
        <w:t xml:space="preserve">(</w:t>
      </w:r>
      <w:r>
        <w:rPr>
          <w:iCs/>
          <w:i/>
        </w:rPr>
        <w:t xml:space="preserve">17</w:t>
      </w:r>
      <w:r>
        <w:t xml:space="preserve">)</w:t>
      </w:r>
      <w:r>
        <w:t xml:space="preserve">. We define and discuss the metrics that make up our assessment (equations S1-S3), validate individual model components (Figs. S1-S5), and test parameter sensitivity when necessary (Figs. S6-S9)</w:t>
      </w:r>
      <w:r>
        <w:t xml:space="preserve"> </w:t>
      </w:r>
      <w:r>
        <w:t xml:space="preserve">(</w:t>
      </w:r>
      <w:r>
        <w:rPr>
          <w:iCs/>
          <w:i/>
        </w:rPr>
        <w:t xml:space="preserve">17</w:t>
      </w:r>
      <w:r>
        <w:t xml:space="preserve">)</w:t>
      </w:r>
      <w:r>
        <w:t xml:space="preserve">. Our model is a conservative scenario for CONUS stream ephemerality (Text S1) and thus represents a lower bound estimate for the ephemeral influence on United States drainage network hydrology.</w:t>
      </w:r>
    </w:p>
    <w:p>
      <w:pPr>
        <w:pStyle w:val="CaptionedFigure"/>
      </w:pPr>
      <w:r>
        <w:drawing>
          <wp:inline>
            <wp:extent cx="5943600" cy="5943600"/>
            <wp:effectExtent b="0" l="0" r="0" t="0"/>
            <wp:docPr descr="Fig. 1: Ephemeral fraction of discharge exported from drainage networks. (A) Contiguous United States map of the fraction of discharge that is ephemerally-sourced (equation S1). (B-E) Drainage network maps and ephemeral export fractions for four representative basins: (B) endorheic desert basin, (C) semi-arid western basin, (D) temperate, forested basin, and (E) a heavily engineered valley basin. Reach size corresponds to logarithmic bins of streamflow and is relative to map scale. Other basins are mapped in Fig. S10."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Ephemeral fraction of discharge exported from drainage networks. (A) Contiguous United States map of the fraction of discharge that is ephemerally-sourced (equation S1). (B-E) Drainage network maps and ephemeral export fractions for four representative basins: (B) endorheic desert basin, (C) semi-arid western basin, (D) temperate, forested basin, and (E) a heavily engineered valley basin. Reach size corresponds to logarithmic bins of streamflow and is relative to map scale. Other basins are mapped in Fig. S10.</w:t>
      </w:r>
    </w:p>
    <w:p>
      <w:pPr>
        <w:pStyle w:val="BodyText"/>
      </w:pPr>
      <w:r>
        <w:t xml:space="preserve">On average, 53% of annual drainage network export (water volume) is contributed by upstream ephemeral channels. This varies significantly across basins (from 4% to 95%), with regional hotspots where ephemeral streams most dominate the landscape: the deserts of the American southwest and the endorheic Great Basin (Fig. 1a). However, ephemeral contributions to discharge are consistently high across across CONUS: 60% of networks export water that is at least 50% ephemeral. Even the largest rivers in the United States export large volumes of ephemeral water: the Mississippi River export is 50% ephemeral and the Colombia export is 68% ephemeral. Given that discharge generally accumulates in drainage networks, Fig. 1a is theoretically anticipated by upstream ephemeral network extent (Fig. S1c, Text S1). We also express ephemeral contributions has a function of drainage area (Fig. S11, equation S2), where on average 61% of a basin’s upstream drainage area is ephemeral.</w:t>
      </w:r>
    </w:p>
    <w:p>
      <w:pPr>
        <w:pStyle w:val="BodyText"/>
      </w:pPr>
      <w:r>
        <w:t xml:space="preserve">Ephemeral stream hydrography, largely governed by groundwater fluxes and watershed geomorphology, is a result of both topography and climate</w:t>
      </w:r>
      <w:r>
        <w:t xml:space="preserve"> </w:t>
      </w:r>
      <w:r>
        <w:t xml:space="preserve">(</w:t>
      </w:r>
      <w:r>
        <w:rPr>
          <w:iCs/>
          <w:i/>
        </w:rPr>
        <w:t xml:space="preserve">23</w:t>
      </w:r>
      <w:r>
        <w:t xml:space="preserve">,</w:t>
      </w:r>
      <w:r>
        <w:t xml:space="preserve"> </w:t>
      </w:r>
      <w:r>
        <w:rPr>
          <w:iCs/>
          <w:i/>
        </w:rPr>
        <w:t xml:space="preserve">24</w:t>
      </w:r>
      <w:r>
        <w:t xml:space="preserve">)</w:t>
      </w:r>
      <w:r>
        <w:t xml:space="preserve">. In the East, ephemeral streams are most numerous in upland settings: the northern Merrimack river basin (Fig. 1d) drains the White Mountains, where steep channels sit just above the water table and only run in response to rain and snow events. In much of the West, where the water table is kilometers below the surface, ephemeral streams can dominate the landscape (Figs 1b, 1c, S10). In hybrid basins, sharp mountain/valley contrasts exist: California’s San Joaquin basin (Fig 1e) has significant ephemeral presence in its high mountain headwaters, but nearly no ephemeral contribution from the Central Valley where there is persistent surface groundwater. Our model does not account for anthropogenic groundwater pumping</w:t>
      </w:r>
      <w:r>
        <w:t xml:space="preserve"> </w:t>
      </w:r>
      <w:r>
        <w:t xml:space="preserve">(</w:t>
      </w:r>
      <w:r>
        <w:rPr>
          <w:iCs/>
          <w:i/>
        </w:rPr>
        <w:t xml:space="preserve">17</w:t>
      </w:r>
      <w:r>
        <w:t xml:space="preserve">)</w:t>
      </w:r>
      <w:r>
        <w:t xml:space="preserve"> </w:t>
      </w:r>
      <w:r>
        <w:t xml:space="preserve">and is likely under-estimating ephemeral streams where pumping is significant. Ephemeral streams will only become more frequent as groundwater pumping intensifies and water tables lower further</w:t>
      </w:r>
      <w:r>
        <w:t xml:space="preserve"> </w:t>
      </w:r>
      <w:r>
        <w:t xml:space="preserve">(</w:t>
      </w:r>
      <w:r>
        <w:rPr>
          <w:iCs/>
          <w:i/>
        </w:rPr>
        <w:t xml:space="preserve">25</w:t>
      </w:r>
      <w:r>
        <w:t xml:space="preserve">,</w:t>
      </w:r>
      <w:r>
        <w:t xml:space="preserve"> </w:t>
      </w:r>
      <w:r>
        <w:rPr>
          <w:iCs/>
          <w:i/>
        </w:rPr>
        <w:t xml:space="preserve">26</w:t>
      </w:r>
      <w:r>
        <w:t xml:space="preserve">)</w:t>
      </w:r>
      <w:r>
        <w:t xml:space="preserve">.</w:t>
      </w:r>
    </w:p>
    <w:p>
      <w:pPr>
        <w:pStyle w:val="CaptionedFigure"/>
      </w:pPr>
      <w:r>
        <w:drawing>
          <wp:inline>
            <wp:extent cx="5943600" cy="5943600"/>
            <wp:effectExtent b="0" l="0" r="0" t="0"/>
            <wp:docPr descr="Fig. 2: Ephemeral fraction of discharge internal to drainage networks. (A) Distributions of the median ephemeral discharge fraction per stream order, where points and riboons are the means and standard deviations across CONUS basins (respectively). (B) Same for the median ephemeral drainage area fraction. The ribbons are not present in the 11th order, where only a single basin has an ephemeral stream."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Ephemeral fraction of discharge internal to drainage networks. (A) Distributions of the median ephemeral discharge fraction per stream order, where points and riboons are the means and standard deviations across CONUS basins (respectively). (B) Same for the median ephemeral drainage area fraction. The ribbons are not present in the 11th order, where only a single basin has an ephemeral stream.</w:t>
      </w:r>
    </w:p>
    <w:p>
      <w:pPr>
        <w:pStyle w:val="BodyText"/>
      </w:pPr>
      <w:r>
        <w:t xml:space="preserve">Internal to drainage networks, stream size exerts a critical control on ephemeral contributions (Fig. 2). On average, median first-order discharge is 90% ephemeral across all CONUS basins and nearly equivalent east and west of the Mississippi River (90% versus 91%, respectively). Hereafter, we refer to these regions as</w:t>
      </w:r>
      <w:r>
        <w:t xml:space="preserve"> </w:t>
      </w:r>
      <w:r>
        <w:t xml:space="preserve">‘</w:t>
      </w:r>
      <w:r>
        <w:t xml:space="preserve">east</w:t>
      </w:r>
      <w:r>
        <w:t xml:space="preserve">’</w:t>
      </w:r>
      <w:r>
        <w:t xml:space="preserve"> </w:t>
      </w:r>
      <w:r>
        <w:t xml:space="preserve">and</w:t>
      </w:r>
      <w:r>
        <w:t xml:space="preserve"> </w:t>
      </w:r>
      <w:r>
        <w:t xml:space="preserve">‘</w:t>
      </w:r>
      <w:r>
        <w:t xml:space="preserve">west</w:t>
      </w:r>
      <w:r>
        <w:t xml:space="preserve">’</w:t>
      </w:r>
      <w:r>
        <w:t xml:space="preserve">. The ephemeral fraction decreases more rapidly with stream size in eastern basins to approximately 50% by the 4th order, while it decreases linearly in western basins (Fig. 2c). The ephemeral drainage area fraction tracks similarly (Fig 2b). Overall, these results are driven by the sheer number of ephemeral steams in orders 1-3 in the east and 1-5 in the west (Fig 2a).</w:t>
      </w:r>
    </w:p>
    <w:p>
      <w:pPr>
        <w:pStyle w:val="CaptionedFigure"/>
      </w:pPr>
      <w:r>
        <w:drawing>
          <wp:inline>
            <wp:extent cx="5943600" cy="5943600"/>
            <wp:effectExtent b="0" l="0" r="0" t="0"/>
            <wp:docPr descr="Fig. 3: (A) Contiguous United States map of the average number of days that ephemeral streams flow per year, with points indicating approximate locations of field verification data. (B) Verification of model results with field data. Black bars represent 1\sigma uncertainty (17). Ephemeral flow frequency manifests as a delicate balance between hydro-climatology controlling the size and occurrence of runoff events and geomorphology controlling the amount of accumulated runoff needed to produce streamflow."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3: (A) Contiguous United States map of the average number of days that ephemeral streams flow per year,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17</w:t>
      </w:r>
      <w:r>
        <w:t xml:space="preserve">)</w:t>
      </w:r>
      <w:r>
        <w:t xml:space="preserve">. Ephemeral flow frequency manifests as a delicate balance between hydro-climatology controlling the size and occurrence of runoff events and geomorphology controlling the amount of accumulated runoff needed to produce streamflow.</w:t>
      </w:r>
    </w:p>
    <w:p>
      <w:pPr>
        <w:pStyle w:val="BodyText"/>
      </w:pPr>
      <w:r>
        <w:t xml:space="preserve">The significance of the ephemeral fraction of discharge (Figs. 1-2) is underpinned by how infrequently they flow (Fig. 3a). Ephemeral streams flow no more than 72</w:t>
      </w:r>
      <w:r>
        <w:t xml:space="preserve"> </w:t>
      </w:r>
      <m:oMath>
        <m:r>
          <m:rPr>
            <m:sty m:val="p"/>
          </m:rPr>
          <m:t>±</m:t>
        </m:r>
      </m:oMath>
      <w:r>
        <w:t xml:space="preserve"> </w:t>
      </w:r>
      <w:r>
        <w:t xml:space="preserve">21 days in an average year, with a mean of 34</w:t>
      </w:r>
      <w:r>
        <w:t xml:space="preserve"> </w:t>
      </w:r>
      <m:oMath>
        <m:r>
          <m:rPr>
            <m:sty m:val="p"/>
          </m:rPr>
          <m:t>±</m:t>
        </m:r>
      </m:oMath>
      <w:r>
        <w:t xml:space="preserve"> </w:t>
      </w:r>
      <w:r>
        <w:t xml:space="preserve">13 days. Ephemeral flow frequency largely follows topographic and climatic patterns: in western basins they only flow 18 days a year on average, while they flow NaN days on average in eastern Basins. In the southwest deserts, this drops to an average of 18 days a year. Our simple, completely uncalibrated model uses only a precipitation model, runoff data, and geomorphic scaling theory, yet it reasonably matches independent in situ measurements of catchment-averaged, ephemeral flow frequency (Fig. 2b)</w:t>
      </w:r>
      <w:r>
        <w:t xml:space="preserve"> </w:t>
      </w:r>
      <w:r>
        <w:t xml:space="preserve">(</w:t>
      </w:r>
      <w:r>
        <w:rPr>
          <w:iCs/>
          <w:i/>
        </w:rPr>
        <w:t xml:space="preserve">17</w:t>
      </w:r>
      <w:r>
        <w:t xml:space="preserve">)</w:t>
      </w:r>
      <w:r>
        <w:t xml:space="preserve">. With such infrequent flow, our results (Fig. 3) suggest that runoff for specific flow events is much greater than mean annual runoff. When ephemeral streams actually flow, they likely dominate the downstream network’s response and shunt pollutants and other solutes downstream at even great rates</w:t>
      </w:r>
      <w:r>
        <w:t xml:space="preserve"> </w:t>
      </w:r>
      <w:r>
        <w:t xml:space="preserve">(</w:t>
      </w:r>
      <w:r>
        <w:rPr>
          <w:iCs/>
          <w:i/>
        </w:rPr>
        <w:t xml:space="preserve">2</w:t>
      </w:r>
      <w:r>
        <w:t xml:space="preserve">)</w:t>
      </w:r>
      <w:r>
        <w:t xml:space="preserve">.</w:t>
      </w:r>
    </w:p>
    <w:p>
      <w:pPr>
        <w:pStyle w:val="BodyText"/>
      </w:pPr>
      <w:r>
        <w:rPr>
          <w:bCs/>
          <w:b/>
        </w:rPr>
        <w:t xml:space="preserve">Paragraph about implications for water chemistry from Pete.</w:t>
      </w:r>
    </w:p>
    <w:p>
      <w:pPr>
        <w:pStyle w:val="BodyText"/>
      </w:pPr>
      <w:r>
        <w:rPr>
          <w:bCs/>
          <w:b/>
        </w:rPr>
        <w:t xml:space="preserve">Room here for a final paragraph on implications, regulations, policy, etc. from Doug and Matt.</w:t>
      </w:r>
    </w:p>
    <w:bookmarkEnd w:id="32"/>
    <w:bookmarkStart w:id="33" w:name="references"/>
    <w:p>
      <w:pPr>
        <w:pStyle w:val="Heading2"/>
      </w:pPr>
      <w:r>
        <w:t xml:space="preserve">References</w:t>
      </w:r>
    </w:p>
    <w:p>
      <w:pPr>
        <w:pStyle w:val="FirstParagraph"/>
      </w:pPr>
      <w:r>
        <w:t xml:space="preserve">references bust be moved here manually for Science submission</w:t>
      </w:r>
    </w:p>
    <w:bookmarkEnd w:id="33"/>
    <w:bookmarkStart w:id="34" w:name="acknowledgements"/>
    <w:p>
      <w:pPr>
        <w:pStyle w:val="Heading2"/>
      </w:pPr>
      <w:r>
        <w:t xml:space="preserve">Acknowledgements</w:t>
      </w:r>
    </w:p>
    <w:p>
      <w:pPr>
        <w:pStyle w:val="FirstParagraph"/>
      </w:pPr>
      <w:r>
        <w:t xml:space="preserve">We thank Dr. Ying Fan Reinfelder, the USGS, and the EPA for making their data and/or models freely available. We also thank Brian Saccardi for helping manually verify portions of the basin routing scheme. All modeling was performed on the Unity cluster at the Massachusetts Green High Performance Computing Center (MGHPCC).</w:t>
      </w:r>
    </w:p>
    <w:bookmarkEnd w:id="34"/>
    <w:bookmarkStart w:id="35" w:name="funding"/>
    <w:p>
      <w:pPr>
        <w:pStyle w:val="Heading2"/>
      </w:pPr>
      <w:r>
        <w:t xml:space="preserve">Funding</w:t>
      </w:r>
    </w:p>
    <w:p>
      <w:pPr>
        <w:pStyle w:val="FirstParagraph"/>
      </w:pPr>
      <w:r>
        <w:t xml:space="preserve">Am I missing anything?</w:t>
      </w:r>
      <w:r>
        <w:t xml:space="preserve"> </w:t>
      </w: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5"/>
    <w:bookmarkStart w:id="36"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6"/>
    <w:bookmarkStart w:id="37" w:name="competing-interests"/>
    <w:p>
      <w:pPr>
        <w:pStyle w:val="Heading2"/>
      </w:pPr>
      <w:r>
        <w:t xml:space="preserve">Competing interests</w:t>
      </w:r>
    </w:p>
    <w:p>
      <w:pPr>
        <w:pStyle w:val="FirstParagraph"/>
      </w:pPr>
      <w:r>
        <w:t xml:space="preserve">Authors declare that they have no competing interests.</w:t>
      </w:r>
    </w:p>
    <w:bookmarkEnd w:id="37"/>
    <w:bookmarkStart w:id="38" w:name="data-and-materials-availability"/>
    <w:p>
      <w:pPr>
        <w:pStyle w:val="Heading2"/>
      </w:pPr>
      <w:r>
        <w:t xml:space="preserve">Data and materials availability</w:t>
      </w:r>
    </w:p>
    <w:p>
      <w:pPr>
        <w:pStyle w:val="FirstParagraph"/>
      </w:pPr>
      <w:r>
        <w:rPr>
          <w:bCs/>
          <w:b/>
        </w:rPr>
        <w:t xml:space="preserve">blah blah blah</w:t>
      </w:r>
      <w:r>
        <w:t xml:space="preserve">.</w:t>
      </w:r>
    </w:p>
    <w:bookmarkEnd w:id="38"/>
    <w:bookmarkStart w:id="42"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S11</w:t>
      </w:r>
    </w:p>
    <w:p>
      <w:pPr>
        <w:numPr>
          <w:ilvl w:val="0"/>
          <w:numId w:val="1002"/>
        </w:numPr>
      </w:pPr>
      <w:r>
        <w:t xml:space="preserve">Tables S1 to S5</w:t>
      </w:r>
    </w:p>
    <w:p>
      <w:pPr>
        <w:numPr>
          <w:ilvl w:val="0"/>
          <w:numId w:val="1002"/>
        </w:numPr>
      </w:pPr>
      <w:r>
        <w:t xml:space="preserve">References 26-54</w:t>
      </w:r>
    </w:p>
    <w:p>
      <w:r>
        <w:br w:type="page"/>
      </w:r>
    </w:p>
    <w:p>
      <w:pPr>
        <w:pStyle w:val="FirstParagraph"/>
      </w:pPr>
      <w:r>
        <w:drawing>
          <wp:inline>
            <wp:extent cx="1837112" cy="802178"/>
            <wp:effectExtent b="0" l="0" r="0" t="0"/>
            <wp:docPr descr="" title="" id="40" name="Picture"/>
            <a:graphic>
              <a:graphicData uri="http://schemas.openxmlformats.org/drawingml/2006/picture">
                <pic:pic>
                  <pic:nvPicPr>
                    <pic:cNvPr descr="/nas/cee-water/cjgleason/craig/CONUS_ephemeral/docs/manuscript/science_logo.jpg" id="41" name="Picture"/>
                    <pic:cNvPicPr>
                      <a:picLocks noChangeArrowheads="1" noChangeAspect="1"/>
                    </pic:cNvPicPr>
                  </pic:nvPicPr>
                  <pic:blipFill>
                    <a:blip r:embed="rId39"/>
                    <a:stretch>
                      <a:fillRect/>
                    </a:stretch>
                  </pic:blipFill>
                  <pic:spPr bwMode="auto">
                    <a:xfrm>
                      <a:off x="0" y="0"/>
                      <a:ext cx="1837112" cy="802178"/>
                    </a:xfrm>
                    <a:prstGeom prst="rect">
                      <a:avLst/>
                    </a:prstGeom>
                    <a:noFill/>
                    <a:ln w="9525">
                      <a:noFill/>
                      <a:headEnd/>
                      <a:tailEnd/>
                    </a:ln>
                  </pic:spPr>
                </pic:pic>
              </a:graphicData>
            </a:graphic>
          </wp:inline>
        </w:drawing>
      </w:r>
    </w:p>
    <w:bookmarkEnd w:id="42"/>
    <w:bookmarkStart w:id="205"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3"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Text S1</w:t>
      </w:r>
    </w:p>
    <w:p>
      <w:pPr>
        <w:numPr>
          <w:ilvl w:val="0"/>
          <w:numId w:val="1003"/>
        </w:numPr>
      </w:pPr>
      <w:r>
        <w:t xml:space="preserve">Figs. S1 to S11</w:t>
      </w:r>
    </w:p>
    <w:p>
      <w:pPr>
        <w:numPr>
          <w:ilvl w:val="0"/>
          <w:numId w:val="1003"/>
        </w:numPr>
      </w:pPr>
      <w:r>
        <w:t xml:space="preserve">Tables S1 to S5</w:t>
      </w:r>
    </w:p>
    <w:bookmarkEnd w:id="43"/>
    <w:bookmarkStart w:id="59"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properties to frame our exploration: ephemeral flow volume, ephemeral drainage area contributions, and ephemeral flow frequency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48" w:name="drainage-network-framework"/>
    <w:p>
      <w:pPr>
        <w:pStyle w:val="Heading3"/>
      </w:pPr>
      <w:r>
        <w:t xml:space="preserve">1 Drainage network framework</w:t>
      </w:r>
    </w:p>
    <w:bookmarkStart w:id="44"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19</w:t>
      </w:r>
      <w:r>
        <w:t xml:space="preserve">)</w:t>
      </w:r>
      <w:r>
        <w:t xml:space="preserve">. This is the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Compared against digital elevation model (DEM)-based hydrography, there is no necessary assumption of a uniform drainage area threshold. Rather, streams and rivers are geo-tagged in the model using a variety of methods from DEMs, map digitzation, and field visits.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22</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4"/>
    <w:bookmarkStart w:id="45"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19</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S4- 4,044 gauges). The discharge model is validated in Fig. S4, where the model robustly captures mean annual discharges for 1970-2018 and performs comparably to a similar discharge model used to map global river intermittency</w:t>
      </w:r>
      <w:r>
        <w:t xml:space="preserve"> </w:t>
      </w:r>
      <w:r>
        <w:t xml:space="preserve">(</w:t>
      </w:r>
      <w:r>
        <w:rPr>
          <w:iCs/>
          <w:i/>
        </w:rPr>
        <w:t xml:space="preserve">9</w:t>
      </w:r>
      <w:r>
        <w:t xml:space="preserve">)</w:t>
      </w:r>
      <w:r>
        <w:t xml:space="preserve">.</w:t>
      </w:r>
    </w:p>
    <w:bookmarkEnd w:id="45"/>
    <w:bookmarkStart w:id="46" w:name="hydraulic-geometry"/>
    <w:p>
      <w:pPr>
        <w:pStyle w:val="Heading4"/>
      </w:pPr>
      <w:r>
        <w:t xml:space="preserve">1.3 Hydraulic Geometry</w:t>
      </w:r>
    </w:p>
    <w:p>
      <w:pPr>
        <w:pStyle w:val="FirstParagraph"/>
      </w:pPr>
      <w:r>
        <w:t xml:space="preserve">We use hydraulic geometry scaling to obtain broad estimates of mean annual river, and lake/reservoir depth that are needed to assess ephemerality (Section 3). For rivers, canals, and ditches we used the relation from</w:t>
      </w:r>
      <w:r>
        <w:t xml:space="preserve"> </w:t>
      </w:r>
      <w:r>
        <w:t xml:space="preserve">(</w:t>
      </w:r>
      <w:r>
        <w:rPr>
          <w:iCs/>
          <w:i/>
        </w:rPr>
        <w:t xml:space="preserve">27</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28</w:t>
      </w:r>
      <w:r>
        <w:t xml:space="preserve">)</w:t>
      </w:r>
      <w:r>
        <w:t xml:space="preserve">, developed using the Hurst coefficient for self-affine surfaces and existing datasets.</w:t>
      </w:r>
    </w:p>
    <w:bookmarkEnd w:id="46"/>
    <w:bookmarkStart w:id="47"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29</w:t>
      </w:r>
      <w:r>
        <w:t xml:space="preserve">)</w:t>
      </w:r>
      <w:r>
        <w:t xml:space="preserve"> </w:t>
      </w:r>
      <w:r>
        <w:t xml:space="preserve">consists of site assessments (as of 06/20/2022 when downloaded) for WOTUS status made at the landowners request, where status was determined under the at-the-time definition for WOTUS extent. We filter this dataset to include only determinations made under the NWPR after it was enacted in 2020, which includes an explicit category for ephemeral streams.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 terrestrial sites,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those surface waters whose WOTUS status is questionable and requires a proper field assessment to elucidate. Thus, the EPA Jurisdictional Determinations rarely include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manually assess stream ephemerality in the northeastern U.S.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30</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the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In general, classification performance should decrease as the snapping threshold increases due to a misassignment of field data to the wrong rivers, though we want to test how sensitive it actually is. First, we re-project all data using the Universal Transverse Mercator (UTM) projection system to ensure snapping distances are regionally accurate. Then, we test a range of snapping thresholds from 7.5m to 60m as a sensitivity test. Additional discussion on this sensitivity test is explained in Section 3.3. Ultimately, we settle on a threshold of 7.5m. After snapping, we assign the most frequently occurring field assessment along the reach as its</w:t>
      </w:r>
      <w:r>
        <w:t xml:space="preserve"> </w:t>
      </w:r>
      <w:r>
        <w:t xml:space="preserve">‘</w:t>
      </w:r>
      <w:r>
        <w:t xml:space="preserve">true assessment of ephemerality</w:t>
      </w:r>
      <w:r>
        <w:t xml:space="preserve">’</w:t>
      </w:r>
      <w:r>
        <w:t xml:space="preserve">. If there is a tie between frequency of occurence (meaning there is no consensus on whetehr the reach is ephemeral or non-ephemeral), we remove those points from the data dataset. Ultimately, we have 6,761 field assessments of reach ephemerality to validate our model. Figure S1b maps the regional number of these data for all of CONUS.</w:t>
      </w:r>
    </w:p>
    <w:bookmarkEnd w:id="47"/>
    <w:bookmarkEnd w:id="48"/>
    <w:bookmarkStart w:id="49" w:name="calculations"/>
    <w:p>
      <w:pPr>
        <w:pStyle w:val="Heading3"/>
      </w:pPr>
      <w:r>
        <w:t xml:space="preserve">2 Calculations</w:t>
      </w:r>
    </w:p>
    <w:p>
      <w:pPr>
        <w:pStyle w:val="FirstParagraph"/>
      </w:pPr>
      <w:r>
        <w:t xml:space="preserve">We calculate a suite of metrics by routing through the drainage network, from most upstream to downstream reach, and calculating equations S1 and S2. When a basin discharges into a downstream drainage network, we pass the appropriate reach values to the next downstream basin. Below are the metrics that we calculate for all 20708899 reaches in the CONUS drainage network. To calculate the relative ephemeral flow volumes (and drainage areas) being exported from each basin (Fig. 1a and S11), we sum up the ephemeral flow volumes and contributing areas for all terminal reaches in the basin and then re-calculate equations S1 and S2.</w:t>
      </w:r>
    </w:p>
    <w:p>
      <w:pPr>
        <w:pStyle w:val="BodyText"/>
      </w:pPr>
      <w:r>
        <w:t xml:space="preserve">The relative ephemeral flow volume</w:t>
      </w:r>
      <w:r>
        <w:t xml:space="preserve"> </w:t>
      </w:r>
      <m:oMath>
        <m:sSub>
          <m:e>
            <m:r>
              <m:t>E</m:t>
            </m:r>
          </m:e>
          <m:sub>
            <m:r>
              <m:t>Q</m:t>
            </m:r>
          </m:sub>
        </m:sSub>
      </m:oMath>
      <w:r>
        <w:t xml:space="preserve"> </w:t>
      </w:r>
      <w:r>
        <w:t xml:space="preserve">is the average fraction of a reach’s discharge that was</w:t>
      </w:r>
      <w:r>
        <w:t xml:space="preserve"> </w:t>
      </w:r>
      <w:r>
        <w:t xml:space="preserve">‘</w:t>
      </w:r>
      <w:r>
        <w:t xml:space="preserve">ephemerally-sourced</w:t>
      </w:r>
      <w:r>
        <w:t xml:space="preserve">’</w:t>
      </w:r>
      <w:r>
        <w:t xml:space="preserve">, or entered the drainage network in an upstream ephemeral channel (equation S1).</w:t>
      </w:r>
      <w:r>
        <w:t xml:space="preserve"> </w:t>
      </w:r>
      <m:oMath>
        <m:sSub>
          <m:e>
            <m:r>
              <m:t>Q</m:t>
            </m:r>
          </m:e>
          <m:sub>
            <m:r>
              <m:t>L</m:t>
            </m:r>
          </m:sub>
        </m:sSub>
      </m:oMath>
      <w:r>
        <w:t xml:space="preserve"> </w:t>
      </w:r>
      <w:r>
        <w:t xml:space="preserve">is the lateral runoff contribution for the current reach,</w:t>
      </w:r>
      <w:r>
        <w:t xml:space="preserve"> </w:t>
      </w:r>
      <w:r>
        <w:rPr>
          <w:iCs/>
          <w:i/>
        </w:rPr>
        <w:t xml:space="preserve">Q</w:t>
      </w:r>
      <w:r>
        <w:t xml:space="preserve"> </w:t>
      </w:r>
      <w:r>
        <w:t xml:space="preserve">is accumulated discharge,</w:t>
      </w:r>
      <w:r>
        <w:t xml:space="preserve"> </w:t>
      </w:r>
      <w:r>
        <w:rPr>
          <w:iCs/>
          <w:i/>
        </w:rPr>
        <w:t xml:space="preserve">F</w:t>
      </w:r>
      <w:r>
        <w:t xml:space="preserve"> </w:t>
      </w:r>
      <w:r>
        <w:t xml:space="preserve">is an ephemeral flag, and</w:t>
      </w:r>
      <w:r>
        <w:t xml:space="preserve"> </w:t>
      </w:r>
      <w:r>
        <w:rPr>
          <w:iCs/>
          <w:i/>
        </w:rPr>
        <w:t xml:space="preserve">i</w:t>
      </w:r>
      <w:r>
        <w:t xml:space="preserve"> </w:t>
      </w:r>
      <w:r>
        <w:t xml:space="preserve">indexes the reaches immediately upstream.</w:t>
      </w:r>
      <w:r>
        <w:t xml:space="preserve"> </w:t>
      </w:r>
      <w:r>
        <w:rPr>
          <w:iCs/>
          <w:i/>
        </w:rPr>
        <w:t xml:space="preserve">F</w:t>
      </w:r>
      <w:r>
        <w:t xml:space="preserve"> </w:t>
      </w:r>
      <w:r>
        <w:t xml:space="preserve">is a binary flag that</w:t>
      </w:r>
      <w:r>
        <w:t xml:space="preserve"> </w:t>
      </w:r>
      <w:r>
        <w:t xml:space="preserve">‘</w:t>
      </w:r>
      <w:r>
        <w:t xml:space="preserve">turns on</w:t>
      </w:r>
      <w:r>
        <w:t xml:space="preserve">’</w:t>
      </w:r>
      <w:r>
        <w:t xml:space="preserve"> </w:t>
      </w:r>
      <w:r>
        <w:t xml:space="preserve">lateral runoff when the stream is ephemeral. Losing streams (when discharge decreases downstream due to evapotranspirative losses or groundwater seepage) can make equation S1 go below 0% or above 100%. We bound the results at 0-100% because, relative to the river channel, these values are equivalent to 0% or 100%, respectively.</w:t>
      </w:r>
    </w:p>
    <w:p>
      <w:pPr>
        <w:pStyle w:val="BodyText"/>
      </w:pPr>
      <m:oMathPara>
        <m:oMathParaPr>
          <m:jc m:val="center"/>
        </m:oMathParaPr>
        <m:oMath>
          <m:sSub>
            <m:e>
              <m:r>
                <m:t>E</m:t>
              </m:r>
            </m:e>
            <m:sub>
              <m:r>
                <m:t>Q</m:t>
              </m:r>
            </m:sub>
          </m:sSub>
          <m:r>
            <m:rPr>
              <m:sty m:val="p"/>
            </m:rPr>
            <m:t>=</m:t>
          </m:r>
          <m:f>
            <m:fPr>
              <m:type m:val="bar"/>
            </m:fPr>
            <m:num>
              <m:sSub>
                <m:e>
                  <m:r>
                    <m:t>Q</m:t>
                  </m:r>
                </m:e>
                <m:sub>
                  <m:r>
                    <m:t>L</m:t>
                  </m:r>
                </m:sub>
              </m:sSub>
              <m:r>
                <m:t>F</m:t>
              </m:r>
              <m:r>
                <m:rPr>
                  <m:sty m:val="p"/>
                </m:rPr>
                <m:t>+</m:t>
              </m:r>
              <m:nary>
                <m:naryPr>
                  <m:chr m:val="∑"/>
                  <m:limLoc m:val="undOvr"/>
                  <m:subHide m:val="0"/>
                  <m:supHide m:val="0"/>
                </m:naryPr>
                <m:sub>
                  <m:r>
                    <m:t>i</m:t>
                  </m:r>
                  <m:r>
                    <m:rPr>
                      <m:sty m:val="p"/>
                    </m:rPr>
                    <m:t>=</m:t>
                  </m:r>
                  <m:r>
                    <m:t>1</m:t>
                  </m:r>
                </m:sub>
                <m:sup>
                  <m:r>
                    <m:t>I</m:t>
                  </m:r>
                </m:sup>
                <m:e>
                  <m:sSub>
                    <m:e>
                      <m:r>
                        <m:t>Q</m:t>
                      </m:r>
                    </m:e>
                    <m:sub>
                      <m:r>
                        <m:t>i</m:t>
                      </m:r>
                    </m:sub>
                  </m:sSub>
                  <m:sSub>
                    <m:e>
                      <m:r>
                        <m:t>E</m:t>
                      </m:r>
                    </m:e>
                    <m:sub>
                      <m:sSub>
                        <m:e>
                          <m:r>
                            <m:t>Q</m:t>
                          </m:r>
                        </m:e>
                        <m:sub>
                          <m:r>
                            <m:t>i</m:t>
                          </m:r>
                        </m:sub>
                      </m:sSub>
                    </m:sub>
                  </m:sSub>
                </m:e>
              </m:nary>
            </m:num>
            <m:den>
              <m:r>
                <m:t>Q</m:t>
              </m:r>
            </m:den>
          </m:f>
          <m:d>
            <m:dPr>
              <m:begChr m:val="("/>
              <m:endChr m:val=")"/>
              <m:sepChr m:val=""/>
              <m:grow/>
            </m:dPr>
            <m:e>
              <m:r>
                <m:rPr>
                  <m:sty m:val="b"/>
                </m:rPr>
                <m:t>S</m:t>
              </m:r>
              <m:r>
                <m:rPr>
                  <m:sty m:val="b"/>
                </m:rPr>
                <m:t>1</m:t>
              </m:r>
            </m:e>
          </m:d>
        </m:oMath>
      </m:oMathPara>
    </w:p>
    <w:p>
      <w:pPr>
        <w:pStyle w:val="FirstParagraph"/>
      </w:pPr>
      <w:r>
        <w:t xml:space="preserve">The relative ephemeral area contribution</w:t>
      </w:r>
      <w:r>
        <w:t xml:space="preserve"> </w:t>
      </w:r>
      <m:oMath>
        <m:sSub>
          <m:e>
            <m:r>
              <m:t>E</m:t>
            </m:r>
          </m:e>
          <m:sub>
            <m:sSub>
              <m:e>
                <m:r>
                  <m:t>p</m:t>
                </m:r>
              </m:e>
              <m:sub>
                <m:r>
                  <m:t>A</m:t>
                </m:r>
              </m:sub>
            </m:sSub>
          </m:sub>
        </m:sSub>
      </m:oMath>
      <w:r>
        <w:t xml:space="preserve"> </w:t>
      </w:r>
      <w:r>
        <w:t xml:space="preserve">is the average fraction of a reach’s upstream drainage area that is ephemeral (equation S2).</w:t>
      </w:r>
      <w:r>
        <w:t xml:space="preserve"> </w:t>
      </w:r>
      <m:oMath>
        <m:sSub>
          <m:e>
            <m:r>
              <m:t>A</m:t>
            </m:r>
          </m:e>
          <m:sub>
            <m:r>
              <m:t>L</m:t>
            </m:r>
          </m:sub>
        </m:sSub>
      </m:oMath>
      <w:r>
        <w:t xml:space="preserve"> </w:t>
      </w:r>
      <w:r>
        <w:t xml:space="preserve">is the lateral catchment area for the current reach and</w:t>
      </w:r>
      <w:r>
        <w:t xml:space="preserve"> </w:t>
      </w:r>
      <w:r>
        <w:rPr>
          <w:iCs/>
          <w:i/>
        </w:rPr>
        <w:t xml:space="preserve">A</w:t>
      </w:r>
      <w:r>
        <w:t xml:space="preserve"> </w:t>
      </w:r>
      <w:r>
        <w:t xml:space="preserve">is upstream drainage area.</w:t>
      </w:r>
    </w:p>
    <w:p>
      <w:pPr>
        <w:pStyle w:val="BodyText"/>
      </w:pPr>
      <m:oMathPara>
        <m:oMathParaPr>
          <m:jc m:val="center"/>
        </m:oMathParaPr>
        <m:oMath>
          <m:sSub>
            <m:e>
              <m:r>
                <m:t>E</m:t>
              </m:r>
            </m:e>
            <m:sub>
              <m:r>
                <m:t>A</m:t>
              </m:r>
            </m:sub>
          </m:sSub>
          <m:r>
            <m:rPr>
              <m:sty m:val="p"/>
            </m:rPr>
            <m:t>=</m:t>
          </m:r>
          <m:f>
            <m:fPr>
              <m:type m:val="bar"/>
            </m:fPr>
            <m:num>
              <m:sSub>
                <m:e>
                  <m:r>
                    <m:t>A</m:t>
                  </m:r>
                </m:e>
                <m:sub>
                  <m:r>
                    <m:t>L</m:t>
                  </m:r>
                </m:sub>
              </m:sSub>
              <m:r>
                <m:t>F</m:t>
              </m:r>
              <m:r>
                <m:rPr>
                  <m:sty m:val="p"/>
                </m:rPr>
                <m:t>+</m:t>
              </m:r>
              <m:nary>
                <m:naryPr>
                  <m:chr m:val="∑"/>
                  <m:limLoc m:val="undOvr"/>
                  <m:subHide m:val="0"/>
                  <m:supHide m:val="0"/>
                </m:naryPr>
                <m:sub>
                  <m:r>
                    <m:t>i</m:t>
                  </m:r>
                  <m:r>
                    <m:rPr>
                      <m:sty m:val="p"/>
                    </m:rPr>
                    <m:t>=</m:t>
                  </m:r>
                  <m:r>
                    <m:t>1</m:t>
                  </m:r>
                </m:sub>
                <m:sup>
                  <m:r>
                    <m:t>I</m:t>
                  </m:r>
                </m:sup>
                <m:e>
                  <m:sSub>
                    <m:e>
                      <m:r>
                        <m:t>A</m:t>
                      </m:r>
                    </m:e>
                    <m:sub>
                      <m:r>
                        <m:t>i</m:t>
                      </m:r>
                    </m:sub>
                  </m:sSub>
                  <m:sSub>
                    <m:e>
                      <m:r>
                        <m:t>E</m:t>
                      </m:r>
                    </m:e>
                    <m:sub>
                      <m:sSub>
                        <m:e>
                          <m:r>
                            <m:t>A</m:t>
                          </m:r>
                        </m:e>
                        <m:sub>
                          <m:r>
                            <m:t>i</m:t>
                          </m:r>
                        </m:sub>
                      </m:sSub>
                    </m:sub>
                  </m:sSub>
                </m:e>
              </m:nary>
            </m:num>
            <m:den>
              <m:r>
                <m:t>A</m:t>
              </m:r>
            </m:den>
          </m:f>
          <m:d>
            <m:dPr>
              <m:begChr m:val="("/>
              <m:endChr m:val=")"/>
              <m:sepChr m:val=""/>
              <m:grow/>
            </m:dPr>
            <m:e>
              <m:r>
                <m:rPr>
                  <m:sty m:val="b"/>
                </m:rPr>
                <m:t>S</m:t>
              </m:r>
              <m:r>
                <m:rPr>
                  <m:sty m:val="b"/>
                </m:rPr>
                <m:t>2</m:t>
              </m:r>
            </m:e>
          </m:d>
        </m:oMath>
      </m:oMathPara>
    </w:p>
    <w:p>
      <w:pPr>
        <w:pStyle w:val="FirstParagraph"/>
      </w:pPr>
      <w:r>
        <w:t xml:space="preserve">At the basin scale, we calculate ephemeral flow frequency</w:t>
      </w:r>
      <w:r>
        <w:t xml:space="preserve"> </w:t>
      </w:r>
      <m:oMath>
        <m:sSub>
          <m:e>
            <m:r>
              <m:t>E</m:t>
            </m:r>
          </m:e>
          <m:sub>
            <m:r>
              <m:t>f</m:t>
            </m:r>
          </m:sub>
        </m:sSub>
      </m:oMath>
      <w:r>
        <w:t xml:space="preserve"> </w:t>
      </w:r>
      <w:r>
        <w:t xml:space="preserve">as the fraction of an average year (in days) that ephemeral streams are flowing. We calculate this using equation S3,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S3 is mapped in Fig. 3a.</w:t>
      </w:r>
    </w:p>
    <w:p>
      <w:pPr>
        <w:pStyle w:val="BodyText"/>
      </w:pPr>
      <m:oMathPara>
        <m:oMathParaPr>
          <m:jc m:val="center"/>
        </m:oMathParaPr>
        <m:oMath>
          <m:sSub>
            <m:e>
              <m:r>
                <m:t>E</m:t>
              </m:r>
            </m:e>
            <m:sub>
              <m:r>
                <m:t>f</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3</m:t>
              </m:r>
            </m:e>
          </m:d>
        </m:oMath>
      </m:oMathPara>
    </w:p>
    <w:bookmarkEnd w:id="49"/>
    <w:bookmarkStart w:id="53" w:name="identifying-ephemeral-streams"/>
    <w:p>
      <w:pPr>
        <w:pStyle w:val="Heading3"/>
      </w:pPr>
      <w:r>
        <w:t xml:space="preserve">3 Identifying ephemeral streams</w:t>
      </w:r>
    </w:p>
    <w:bookmarkStart w:id="50" w:name="model"/>
    <w:p>
      <w:pPr>
        <w:pStyle w:val="Heading4"/>
      </w:pPr>
      <w:r>
        <w:t xml:space="preserve">3.1 Model</w:t>
      </w:r>
    </w:p>
    <w:p>
      <w:pPr>
        <w:pStyle w:val="FirstParagraph"/>
      </w:pPr>
      <w:r>
        <w:t xml:space="preserve">Our model relies on a geomorphic definition for ephemerality and avoids the potential pitfalls of training/validating a statistical classifier on streamgauges, which are by definition biased towards larger, non-ephemeral streams</w:t>
      </w:r>
      <w:r>
        <w:t xml:space="preserve"> </w:t>
      </w:r>
      <w:r>
        <w:t xml:space="preserve">(</w:t>
      </w:r>
      <w:r>
        <w:rPr>
          <w:iCs/>
          <w:i/>
        </w:rPr>
        <w:t xml:space="preserve">31</w:t>
      </w:r>
      <w:r>
        <w:t xml:space="preserve">,</w:t>
      </w:r>
      <w:r>
        <w:t xml:space="preserve"> </w:t>
      </w:r>
      <w:r>
        <w:rPr>
          <w:iCs/>
          <w:i/>
        </w:rPr>
        <w:t xml:space="preserve">32</w:t>
      </w:r>
      <w:r>
        <w:t xml:space="preserve">)</w:t>
      </w:r>
      <w:r>
        <w:t xml:space="preserve">.</w:t>
      </w:r>
    </w:p>
    <w:p>
      <w:pPr>
        <w:pStyle w:val="BodyText"/>
      </w:pPr>
      <w:r>
        <w:t xml:space="preserve">We use a ~1km global soil hydrology model for mean monthly estimates of the water table depth (</w:t>
      </w:r>
      <w:r>
        <w:rPr>
          <w:iCs/>
          <w:i/>
        </w:rPr>
        <w:t xml:space="preserve">WTD</w:t>
      </w:r>
      <w:r>
        <w:t xml:space="preserve">)</w:t>
      </w:r>
      <w:r>
        <w:t xml:space="preserve">(</w:t>
      </w:r>
      <w:r>
        <w:rPr>
          <w:iCs/>
          <w:i/>
        </w:rPr>
        <w:t xml:space="preserve">18</w:t>
      </w:r>
      <w:r>
        <w:t xml:space="preserve">,</w:t>
      </w:r>
      <w:r>
        <w:t xml:space="preserve"> </w:t>
      </w:r>
      <w:r>
        <w:rPr>
          <w:iCs/>
          <w:i/>
        </w:rPr>
        <w:t xml:space="preserve">33</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18</w:t>
      </w:r>
      <w:r>
        <w:t xml:space="preserve">)</w:t>
      </w:r>
      <w:r>
        <w:t xml:space="preserve">. The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34</w:t>
      </w:r>
      <w:r>
        <w:t xml:space="preserve">,</w:t>
      </w:r>
      <w:r>
        <w:t xml:space="preserve"> </w:t>
      </w:r>
      <w:r>
        <w:rPr>
          <w:iCs/>
          <w:i/>
        </w:rPr>
        <w:t xml:space="preserve">35</w:t>
      </w:r>
      <w:r>
        <w:t xml:space="preserve">)</w:t>
      </w:r>
      <w:r>
        <w:t xml:space="preserve">.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1cm buffer, for all twelve months of the year, it is classed as ephemeral. To avoid misclassifying streams with an intermittently high/low water table, this must hold true for all twelve months of the year. We treat all lakes/reservoirs as non-ephemeral because the NWPR definition for ephemeral is limited to streams.</w:t>
      </w:r>
    </w:p>
    <w:p>
      <w:pPr>
        <w:pStyle w:val="BodyText"/>
      </w:pPr>
      <w:r>
        <w:t xml:space="preserve">Next, we route through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Finally, we handle two unique scenarios:</w:t>
      </w:r>
    </w:p>
    <w:p>
      <w:pPr>
        <w:numPr>
          <w:ilvl w:val="0"/>
          <w:numId w:val="1004"/>
        </w:numPr>
      </w:pPr>
      <w:r>
        <w:t xml:space="preserve">Following NWPR rules, we only count rivers/streams as ephemeral and recast all ephemeral canals and ditches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pStyle w:val="FirstParagraph"/>
      </w:pPr>
      <w:r>
        <w:t xml:space="preserve">Routing between basins was facilitated by a custom routine which runs the drainage network routing in parallel across basins at the same</w:t>
      </w:r>
      <w:r>
        <w:t xml:space="preserve"> </w:t>
      </w:r>
      <w:r>
        <w:t xml:space="preserve">‘</w:t>
      </w:r>
      <w:r>
        <w:t xml:space="preserve">processing level</w:t>
      </w:r>
      <w:r>
        <w:t xml:space="preserve">’</w:t>
      </w:r>
      <w:r>
        <w:t xml:space="preserve">, and then efficiently passes exported parameters of interest to the basin immediately downstream in the next processing level.</w:t>
      </w:r>
    </w:p>
    <w:bookmarkEnd w:id="50"/>
    <w:bookmarkStart w:id="51"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w:t>
      </w:r>
      <w:r>
        <w:rPr>
          <w:iCs/>
          <w:i/>
        </w:rPr>
        <w:t xml:space="preserve">TSS</w:t>
      </w:r>
      <w:r>
        <w:t xml:space="preserve">) or Youden’s</w:t>
      </w:r>
      <w:r>
        <w:t xml:space="preserve"> </w:t>
      </w:r>
      <w:r>
        <w:rPr>
          <w:iCs/>
          <w:i/>
        </w:rPr>
        <w:t xml:space="preserve">J</w:t>
      </w:r>
      <w:r>
        <w:t xml:space="preserve"> </w:t>
      </w:r>
      <w:r>
        <w:t xml:space="preserve">depending on the literature</w:t>
      </w:r>
      <w:r>
        <w:t xml:space="preserve"> </w:t>
      </w:r>
      <w:r>
        <w:t xml:space="preserve">(</w:t>
      </w:r>
      <w:r>
        <w:rPr>
          <w:iCs/>
          <w:i/>
        </w:rPr>
        <w:t xml:space="preserve">36</w:t>
      </w:r>
      <w:r>
        <w:t xml:space="preserve">)</w:t>
      </w:r>
      <w:r>
        <w:t xml:space="preserve">. See Table S3 for metric definitions.</w:t>
      </w:r>
      <w:r>
        <w:t xml:space="preserve"> </w:t>
      </w:r>
      <w:r>
        <w:rPr>
          <w:iCs/>
          <w:i/>
        </w:rPr>
        <w:t xml:space="preserve">TSS</w:t>
      </w:r>
      <w:r>
        <w:t xml:space="preserve"> </w:t>
      </w:r>
      <w:r>
        <w:t xml:space="preserve">is equal to the sensitivity + specificity - 1. It intuitively represents the performance improvement over a random classifier, i.e. a score of zero indicates that the model is equivalent to random guessing. Mathematically,</w:t>
      </w:r>
      <w:r>
        <w:t xml:space="preserve"> </w:t>
      </w:r>
      <w:r>
        <w:rPr>
          <w:iCs/>
          <w:i/>
        </w:rPr>
        <w:t xml:space="preserve">TSS</w:t>
      </w:r>
      <w:r>
        <w:t xml:space="preserve"> </w:t>
      </w:r>
      <w:r>
        <w:t xml:space="preserve">equals the distance (in units of sensitivity) between a point on the ROC curve and the random classifier.</w:t>
      </w:r>
      <w:r>
        <w:t xml:space="preserve"> </w:t>
      </w:r>
      <w:r>
        <w:rPr>
          <w:iCs/>
          <w:i/>
        </w:rPr>
        <w:t xml:space="preserve">TSS</w:t>
      </w:r>
      <w:r>
        <w:t xml:space="preserve"> </w:t>
      </w:r>
      <w:r>
        <w:t xml:space="preserve">is more robust to class imbalances than simple percent accuracy, and it has been used in the past to assess headwater and ephemeral mapping models</w:t>
      </w:r>
      <w:r>
        <w:t xml:space="preserve"> </w:t>
      </w:r>
      <w:r>
        <w:t xml:space="preserve">(</w:t>
      </w:r>
      <w:r>
        <w:rPr>
          <w:iCs/>
          <w:i/>
        </w:rPr>
        <w:t xml:space="preserve">12</w:t>
      </w:r>
      <w:r>
        <w:t xml:space="preserve">,</w:t>
      </w:r>
      <w:r>
        <w:t xml:space="preserve"> </w:t>
      </w:r>
      <w:r>
        <w:rPr>
          <w:iCs/>
          <w:i/>
        </w:rPr>
        <w:t xml:space="preserve">13</w:t>
      </w:r>
      <w:r>
        <w:t xml:space="preserve">)</w:t>
      </w:r>
      <w:r>
        <w:t xml:space="preserve">, so we use it here to compare against existing models. Regional</w:t>
      </w:r>
      <w:r>
        <w:t xml:space="preserve"> </w:t>
      </w:r>
      <w:r>
        <w:rPr>
          <w:iCs/>
          <w:i/>
        </w:rPr>
        <w:t xml:space="preserve">TSS</w:t>
      </w:r>
      <w:r>
        <w:t xml:space="preserve"> </w:t>
      </w:r>
      <w:r>
        <w:t xml:space="preserve">is mapped in Fig. S1, regional sensitivity and specificity are mapped in Fig. S2, and boxplots of all regional metrics are Fig. S3. To confirm our results are not dependent on the snapping threshold used, we test the sensitivity of CONUS-wide classification accuracy to the snapping threshold. We find it stable when the threshold is at least 10m (Fig. S6). The choice of this threshold is elaborated on in Section 3.3. The validation results are discussed in Text S1.</w:t>
      </w:r>
    </w:p>
    <w:bookmarkEnd w:id="51"/>
    <w:bookmarkStart w:id="52"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explicitly represented in our hydrography. While this drainage network framework is the highest resolution available, it inevitably has a lower bound on the streams that it includes (particularly with respect to ephemeral channels). To assess the amount of ephemeral streams we are missing, we use Hortonian river network scaling</w:t>
      </w:r>
      <w:r>
        <w:t xml:space="preserve"> </w:t>
      </w:r>
      <w:r>
        <w:t xml:space="preserve">(</w:t>
      </w:r>
      <w:r>
        <w:rPr>
          <w:iCs/>
          <w:i/>
        </w:rPr>
        <w:t xml:space="preserve">37</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38</w:t>
      </w:r>
      <w:r>
        <w:t xml:space="preserve">–</w:t>
      </w:r>
      <w:r>
        <w:rPr>
          <w:iCs/>
          <w:i/>
        </w:rPr>
        <w:t xml:space="preserve">40</w:t>
      </w:r>
      <w:r>
        <w:t xml:space="preserve">)</w:t>
      </w:r>
      <w:r>
        <w:t xml:space="preserve">, but rather arise fromm hydrography resolution and definitions. We use a consistent CONUS-scale product, so this is reasonable.</w:t>
      </w:r>
    </w:p>
    <w:p>
      <w:pPr>
        <w:numPr>
          <w:ilvl w:val="0"/>
          <w:numId w:val="1005"/>
        </w:numPr>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pPr>
        <w:pStyle w:val="FirstParagraph"/>
      </w:pPr>
      <w:r>
        <w:t xml:space="preserve">Equation S4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37</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S4 can be re-expressed as equation S5,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5-15m (Fig. S5-S7).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4</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5</m:t>
              </m:r>
            </m:e>
          </m:d>
        </m:oMath>
      </m:oMathPara>
    </w:p>
    <w:p>
      <w:pPr>
        <w:pStyle w:val="FirstParagraph"/>
      </w:pPr>
      <w:r>
        <w:t xml:space="preserve">Using equation S5, we find that one additional ephemeral stream order should be added to our drainage network to reproduce the field data (Fig. S5). Given the likely significant omission errors in our field ephemerality data, one additional stream order is a lower bound. This conveniently means that we can treat all accumulated flow in first-order stream channels as lateral runoff (i.e. </w:t>
      </w:r>
      <m:oMath>
        <m:sSub>
          <m:e>
            <m:r>
              <m:t>Q</m:t>
            </m:r>
          </m:e>
          <m:sub>
            <m:r>
              <m:t>L</m:t>
            </m:r>
          </m:sub>
        </m:sSub>
        <m:r>
          <m:rPr>
            <m:sty m:val="p"/>
          </m:rPr>
          <m:t>=</m:t>
        </m:r>
        <m:r>
          <m:t>Q</m:t>
        </m:r>
      </m:oMath>
      <w:r>
        <w:t xml:space="preserve">), however it does assume that all streams upslope of the</w:t>
      </w:r>
      <w:r>
        <w:t xml:space="preserve"> </w:t>
      </w:r>
      <w:r>
        <w:t xml:space="preserve">‘</w:t>
      </w:r>
      <w:r>
        <w:t xml:space="preserve">first-order</w:t>
      </w:r>
      <w:r>
        <w:t xml:space="preserve">’</w:t>
      </w:r>
      <w:r>
        <w:t xml:space="preserve"> </w:t>
      </w:r>
      <w:r>
        <w:t xml:space="preserve">streams in the model are the same classification of</w:t>
      </w:r>
      <w:r>
        <w:t xml:space="preserve"> </w:t>
      </w:r>
      <w:r>
        <w:t xml:space="preserve">‘</w:t>
      </w:r>
      <w:r>
        <w:t xml:space="preserve">ephemeral</w:t>
      </w:r>
      <w:r>
        <w:t xml:space="preserve">’</w:t>
      </w:r>
      <w:r>
        <w:t xml:space="preserve"> </w:t>
      </w:r>
      <w:r>
        <w:t xml:space="preserve">or</w:t>
      </w:r>
      <w:r>
        <w:t xml:space="preserve"> </w:t>
      </w:r>
      <w:r>
        <w:t xml:space="preserve">‘</w:t>
      </w:r>
      <w:r>
        <w:t xml:space="preserve">non-ephemeral</w:t>
      </w:r>
      <w:r>
        <w:t xml:space="preserve">’</w:t>
      </w:r>
      <w:r>
        <w:t xml:space="preserve">.</w:t>
      </w:r>
    </w:p>
    <w:bookmarkEnd w:id="52"/>
    <w:bookmarkEnd w:id="53"/>
    <w:bookmarkStart w:id="57" w:name="estimating-ephemeral-flow-frequency"/>
    <w:p>
      <w:pPr>
        <w:pStyle w:val="Heading3"/>
      </w:pPr>
      <w:r>
        <w:t xml:space="preserve">4 Estimating ephemeral flow frequency</w:t>
      </w:r>
    </w:p>
    <w:bookmarkStart w:id="54" w:name="data"/>
    <w:p>
      <w:pPr>
        <w:pStyle w:val="Heading4"/>
      </w:pPr>
      <w:r>
        <w:t xml:space="preserve">4.1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mean annual, weighted-average runoff data for 1970-2021</w:t>
      </w:r>
      <w:r>
        <w:t xml:space="preserve"> </w:t>
      </w:r>
      <w:r>
        <w:t xml:space="preserve">(</w:t>
      </w:r>
      <w:r>
        <w:rPr>
          <w:iCs/>
          <w:i/>
        </w:rPr>
        <w:t xml:space="preserve">20</w:t>
      </w:r>
      <w:r>
        <w:t xml:space="preserve">)</w:t>
      </w:r>
      <w:r>
        <w:t xml:space="preserve">, a daily precipitation model for 1980-2010</w:t>
      </w:r>
      <w:r>
        <w:t xml:space="preserve"> </w:t>
      </w:r>
      <w:r>
        <w:t xml:space="preserve">(</w:t>
      </w:r>
      <w:r>
        <w:rPr>
          <w:iCs/>
          <w:i/>
        </w:rPr>
        <w:t xml:space="preserve">21</w:t>
      </w:r>
      <w:r>
        <w:t xml:space="preserve">)</w:t>
      </w:r>
      <w:r>
        <w:t xml:space="preserve">, and geomorphic theory. Thus the model is purposefully simple but globally scalable and there is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41</w:t>
      </w:r>
      <w:r>
        <w:t xml:space="preserve">–</w:t>
      </w:r>
      <w:r>
        <w:rPr>
          <w:iCs/>
          <w:i/>
        </w:rPr>
        <w:t xml:space="preserve">48</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therefore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Data from</w:t>
      </w:r>
      <w:r>
        <w:t xml:space="preserve"> </w:t>
      </w:r>
      <w:r>
        <w:t xml:space="preserve">(</w:t>
      </w:r>
      <w:r>
        <w:rPr>
          <w:iCs/>
          <w:i/>
        </w:rPr>
        <w:t xml:space="preserve">48</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When necessary,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41</w:t>
      </w:r>
      <w:r>
        <w:t xml:space="preserve">)</w:t>
      </w:r>
      <w:r>
        <w:t xml:space="preserve">.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49</w:t>
      </w:r>
      <w:r>
        <w:t xml:space="preserve">)</w:t>
      </w:r>
      <w:r>
        <w:t xml:space="preserve">, so we added that to the calculation.</w:t>
      </w:r>
    </w:p>
    <w:bookmarkEnd w:id="54"/>
    <w:bookmarkStart w:id="55" w:name="model-1"/>
    <w:p>
      <w:pPr>
        <w:pStyle w:val="Heading4"/>
      </w:pPr>
      <w:r>
        <w:t xml:space="preserve">4.2 Model</w:t>
      </w:r>
    </w:p>
    <w:p>
      <w:pPr>
        <w:pStyle w:val="FirstParagraph"/>
      </w:pPr>
      <w:r>
        <w:t xml:space="preserve">Traditionally, streams are viewed as a surifical expression of groundwater</w:t>
      </w:r>
      <w:r>
        <w:t xml:space="preserve"> </w:t>
      </w:r>
      <w:r>
        <w:t xml:space="preserve">(</w:t>
      </w:r>
      <w:r>
        <w:rPr>
          <w:iCs/>
          <w:i/>
        </w:rPr>
        <w:t xml:space="preserve">50</w:t>
      </w:r>
      <w:r>
        <w:t xml:space="preserve">)</w:t>
      </w:r>
      <w:r>
        <w:t xml:space="preserve">. However, by definition ephemeral streams expand beyond the boundary of the surface extent of baseflow</w:t>
      </w:r>
      <w:r>
        <w:t xml:space="preserve"> </w:t>
      </w:r>
      <w:r>
        <w:t xml:space="preserve">(</w:t>
      </w:r>
      <w:r>
        <w:rPr>
          <w:iCs/>
          <w:i/>
        </w:rPr>
        <w:t xml:space="preserve">51</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generation of surface runoff and no baseflow.</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S6)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handles snowmelt runoff in winter.</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6</m:t>
              </m:r>
            </m:e>
          </m:d>
        </m:oMath>
      </m:oMathPara>
    </w:p>
    <w:p>
      <w:pPr>
        <w:pStyle w:val="FirstParagraph"/>
      </w:pPr>
      <w:r>
        <w:t xml:space="preserve">This runoff ratio and the 30 year daily timeseries of precipitation are used to determine how often runoff is generated in ephemeral streams (equation S3). Daily precipitation depths are converted to daily, basin-averaged stream runoffs using</w:t>
      </w:r>
      <w:r>
        <w:t xml:space="preserve"> </w:t>
      </w:r>
      <m:oMath>
        <m:sSub>
          <m:e>
            <m:r>
              <m:t>i</m:t>
            </m:r>
          </m:e>
          <m:sub>
            <m:r>
              <m:t>r</m:t>
            </m:r>
          </m:sub>
        </m:sSub>
      </m:oMath>
      <w:r>
        <w:t xml:space="preserve">. Streamflow then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in equation S3 (</w:t>
      </w:r>
      <m:oMath>
        <m:sSub>
          <m:e>
            <m:r>
              <m:t>i</m:t>
            </m:r>
          </m:e>
          <m:sub>
            <m:r>
              <m:t>m</m:t>
            </m:r>
            <m:r>
              <m:t>i</m:t>
            </m:r>
            <m:r>
              <m:t>n</m:t>
            </m:r>
          </m:sub>
        </m:sSub>
      </m:oMath>
      <w:r>
        <w:t xml:space="preserve">) is functionally a bias corrector. It can be conveniently scaled as a function of the average ephemeral catchment size: larger ephemeral catchments need less runoff to generate streamflow due to greater flow accumulation. We use equation S7,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52</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27</w:t>
      </w:r>
      <w:r>
        <w:t xml:space="preserve">)</w:t>
      </w:r>
      <w:r>
        <w:t xml:space="preserve"> </w:t>
      </w:r>
      <w:r>
        <w:t xml:space="preserve">that converts headwater stream width to headwater streamflow.</w:t>
      </w:r>
      <w:r>
        <w:t xml:space="preserve"> </w:t>
      </w:r>
      <m:oMath>
        <m:sSub>
          <m:e>
            <m:r>
              <m:t>A</m:t>
            </m:r>
          </m:e>
          <m:sub>
            <m:r>
              <m:t>m</m:t>
            </m:r>
          </m:sub>
        </m:sSub>
      </m:oMath>
      <w:r>
        <w:t xml:space="preserve"> </w:t>
      </w:r>
      <w:r>
        <w:t xml:space="preserve">is the drainage area for reach</w:t>
      </w:r>
      <w:r>
        <w:t xml:space="preserve"> </w:t>
      </w:r>
      <w:r>
        <w:rPr>
          <w:iCs/>
          <w:i/>
        </w:rPr>
        <w:t xml:space="preserve">m</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m</m:t>
                  </m:r>
                </m:sub>
              </m:sSub>
            </m:den>
          </m:f>
          <m:d>
            <m:dPr>
              <m:begChr m:val="("/>
              <m:endChr m:val=")"/>
              <m:sepChr m:val=""/>
              <m:grow/>
            </m:dPr>
            <m:e>
              <m:r>
                <m:rPr>
                  <m:sty m:val="b"/>
                </m:rPr>
                <m:t>S</m:t>
              </m:r>
              <m:r>
                <m:rPr>
                  <m:sty m:val="b"/>
                </m:rPr>
                <m:t>7</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bulk surface runoff (representing lumped Dunnian, Hortonian, and/or interflow processes) to the drainage network.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53</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S7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pPr>
        <w:pStyle w:val="BodyText"/>
      </w:pPr>
      <w:r>
        <w:t xml:space="preserve">Secondly, we did a 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S7 and run the model under the four scenarios detailed in Table S5. At the basin-scale, results change only slightly (Fig. S9), suggesting that runoff memory and efficiency are not the primary drivers of basin-averaged ephemeral flow frequency at such a coarse scale.</w:t>
      </w:r>
    </w:p>
    <w:bookmarkEnd w:id="55"/>
    <w:bookmarkStart w:id="56" w:name="verification"/>
    <w:p>
      <w:pPr>
        <w:pStyle w:val="Heading4"/>
      </w:pPr>
      <w:r>
        <w:t xml:space="preserve">4.3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6"/>
    <w:bookmarkEnd w:id="57"/>
    <w:bookmarkStart w:id="58" w:name="uncertainty-analysis"/>
    <w:p>
      <w:pPr>
        <w:pStyle w:val="Heading3"/>
      </w:pPr>
      <w:r>
        <w:t xml:space="preserve">5 Uncertainty Analysis</w:t>
      </w:r>
    </w:p>
    <w:p>
      <w:pPr>
        <w:pStyle w:val="FirstParagraph"/>
      </w:pPr>
      <w:r>
        <w:t xml:space="preserve">We quantify uncertainty in</w:t>
      </w:r>
      <w:r>
        <w:t xml:space="preserve"> </w:t>
      </w:r>
      <m:oMath>
        <m:sSub>
          <m:e>
            <m:r>
              <m:t>N</m:t>
            </m:r>
          </m:e>
          <m:sub>
            <m:r>
              <m:t>f</m:t>
            </m:r>
            <m:r>
              <m:t>l</m:t>
            </m:r>
            <m:r>
              <m:t>w</m:t>
            </m:r>
          </m:sub>
        </m:sSub>
      </m:oMath>
      <w:r>
        <w:t xml:space="preserve"> </w:t>
      </w:r>
      <w:r>
        <w:t xml:space="preserve">(Fig. 2a), where parameter uncertainty comes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 To estimate,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52</w:t>
      </w:r>
      <w:r>
        <w:t xml:space="preserve">)</w:t>
      </w:r>
      <w:r>
        <w:t xml:space="preserve"> </w:t>
      </w:r>
      <w:r>
        <w:t xml:space="preserve">and</w:t>
      </w:r>
      <w:r>
        <w:t xml:space="preserve"> </w:t>
      </w:r>
      <w:r>
        <w:t xml:space="preserve">(</w:t>
      </w:r>
      <w:r>
        <w:rPr>
          <w:iCs/>
          <w:i/>
        </w:rPr>
        <w:t xml:space="preserve">27</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58"/>
    <w:bookmarkEnd w:id="59"/>
    <w:bookmarkStart w:id="60" w:name="text-s1-model-performance"/>
    <w:p>
      <w:pPr>
        <w:pStyle w:val="Heading2"/>
      </w:pPr>
      <w:r>
        <w:t xml:space="preserve">Text S1: Model performance</w:t>
      </w:r>
    </w:p>
    <w:p>
      <w:pPr>
        <w:pStyle w:val="FirstParagraph"/>
      </w:pPr>
      <w:r>
        <w:t xml:space="preserve">Ephemeral mapping performance varies across the United States. Regional average</w:t>
      </w:r>
      <w:r>
        <w:t xml:space="preserve"> </w:t>
      </w:r>
      <w:r>
        <w:rPr>
          <w:iCs/>
          <w:i/>
        </w:rPr>
        <w:t xml:space="preserve">TSS</w:t>
      </w:r>
      <w:r>
        <w:t xml:space="preserve"> </w:t>
      </w:r>
      <w:r>
        <w:t xml:space="preserve">is 0.62 (Fig. S2a), average regional accuracy is 86% (Fig. S1a), average regional sensitivity is 72% (Fig. S3a) and average regional specificity was 90% (Fig. S3b). Performance is best in the northeastern U.S. and western U.S. (average</w:t>
      </w:r>
      <w:r>
        <w:t xml:space="preserve"> </w:t>
      </w:r>
      <w:r>
        <w:rPr>
          <w:iCs/>
          <w:i/>
        </w:rPr>
        <w:t xml:space="preserve">TSS</w:t>
      </w:r>
      <w:r>
        <w:t xml:space="preserve"> </w:t>
      </w:r>
      <w:r>
        <w:t xml:space="preserve">of 0.76), while performance was worse in the Midwest and Great Plains (average</w:t>
      </w:r>
      <w:r>
        <w:t xml:space="preserve"> </w:t>
      </w:r>
      <w:r>
        <w:rPr>
          <w:iCs/>
          <w:i/>
        </w:rPr>
        <w:t xml:space="preserve">TSS</w:t>
      </w:r>
      <w:r>
        <w:t xml:space="preserve"> </w:t>
      </w:r>
      <w:r>
        <w:t xml:space="preserve">of 0.38). Specificity is uniformly strong across CONUS (Fig. S3b) but sensitivity is poor throughout the Great Plains and the western Gulf Coast (Fig. S2a). Overall, we outperform the only existing continental-scale ephemeral stream map</w:t>
      </w:r>
      <w:r>
        <w:t xml:space="preserve"> </w:t>
      </w:r>
      <w:r>
        <w:t xml:space="preserve">(</w:t>
      </w:r>
      <w:r>
        <w:rPr>
          <w:iCs/>
          <w:i/>
        </w:rPr>
        <w:t xml:space="preserve">13</w:t>
      </w:r>
      <w:r>
        <w:t xml:space="preserve">)</w:t>
      </w:r>
      <w:r>
        <w:t xml:space="preserve">, which reported a CONUS</w:t>
      </w:r>
      <w:r>
        <w:t xml:space="preserve"> </w:t>
      </w:r>
      <w:r>
        <w:rPr>
          <w:iCs/>
          <w:i/>
        </w:rPr>
        <w:t xml:space="preserve">TSS</w:t>
      </w:r>
      <w:r>
        <w:t xml:space="preserve"> </w:t>
      </w:r>
      <w:r>
        <w:t xml:space="preserve">of 0.45, sensitivity of 63%, and specificity of 83%.</w:t>
      </w:r>
    </w:p>
    <w:p>
      <w:pPr>
        <w:pStyle w:val="BodyText"/>
      </w:pPr>
      <w:r>
        <w:t xml:space="preserve">We also note that our scaling analysis (section 3.3, Fig. S5) indicates an entire additional ephemeral stream order is missing from our model. Because discharge generally accumulates downstream and the vast majority of our first order is already ephemeral, we reasonably account for this. But, it further implies an underestimation of ephemerality across CONUS. Overall, our results indicate that ephemeral influence is even greater than modeled in our analysis and that out results reflect a lower bound on the ephemeral contributions to drainage networks.</w:t>
      </w:r>
    </w:p>
    <w:p>
      <w:pPr>
        <w:pStyle w:val="BodyText"/>
      </w:pPr>
      <w:r>
        <w:t xml:space="preserve">Fig S1c confirms that our model is theoretically anticipated by the relative upstream ephemeral network extent. Because discharge generally accumulates downstream, the relative ephemeral contribution can be approximated by the relative upstream ephemeral network length using Tokunaga ratios for network structure</w:t>
      </w:r>
      <w:r>
        <w:t xml:space="preserve"> </w:t>
      </w:r>
      <w:r>
        <w:t xml:space="preserve">(</w:t>
      </w:r>
      <w:r>
        <w:rPr>
          <w:iCs/>
          <w:i/>
        </w:rPr>
        <w:t xml:space="preserve">14</w:t>
      </w:r>
      <w:r>
        <w:t xml:space="preserve">,</w:t>
      </w:r>
      <w:r>
        <w:t xml:space="preserve"> </w:t>
      </w:r>
      <w:r>
        <w:rPr>
          <w:iCs/>
          <w:i/>
        </w:rPr>
        <w:t xml:space="preserve">54</w:t>
      </w:r>
      <w:r>
        <w:t xml:space="preserve">)</w:t>
      </w:r>
      <w:r>
        <w:t xml:space="preserve">. These reflect the average number of upstream ephemeral branches that flow into a the average branch per stream order. Here, we use network length rather than branch numbers due to the fragmented nature of our reaches when incorporating lakes and reservoirs into the model.</w:t>
      </w:r>
    </w:p>
    <w:bookmarkEnd w:id="60"/>
    <w:bookmarkStart w:id="94" w:name="supplementary-figures"/>
    <w:p>
      <w:pPr>
        <w:pStyle w:val="Heading2"/>
      </w:pPr>
      <w:r>
        <w:t xml:space="preserve">Supplementary Figures</w:t>
      </w:r>
    </w:p>
    <w:p>
      <w:pPr>
        <w:pStyle w:val="CaptionedFigure"/>
      </w:pPr>
      <w:r>
        <w:drawing>
          <wp:inline>
            <wp:extent cx="5943600" cy="5943600"/>
            <wp:effectExtent b="0" l="0" r="0" t="0"/>
            <wp:docPr descr="Fig. S1: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 title="" id="62" name="Picture"/>
            <a:graphic>
              <a:graphicData uri="http://schemas.openxmlformats.org/drawingml/2006/picture">
                <pic:pic>
                  <pic:nvPicPr>
                    <pic:cNvPr descr="/nas/cee-water/cjgleason/craig/CONUS_ephemeral/cache/validationPlot.jp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S1: Main validation/verification plots for model: (A) Regional classification accuracy of the ephemeral stream map against completely independent field assessments of stream ephemerality. (B) Validation of mean annual discharge model at approximately 4,000 streams across CONUS. (C) Verification that that the relative ephemeral contribution to discharge (by basin) cna be anticipated by upstream ephemeral network length (see Text S1 for more details).</w:t>
      </w:r>
    </w:p>
    <w:p>
      <w:pPr>
        <w:pStyle w:val="CaptionedFigure"/>
      </w:pPr>
      <w:r>
        <w:drawing>
          <wp:inline>
            <wp:extent cx="5943600" cy="7132320"/>
            <wp:effectExtent b="0" l="0" r="0" t="0"/>
            <wp:docPr descr="Fig. S2: Regional validations of the ephemeral stream classification model against completely independent field assessments of stream ephemerality: (A) regional model true skill score and (B) number of field-observations per region. The average number of regional observations is 376." title="" id="65" name="Picture"/>
            <a:graphic>
              <a:graphicData uri="http://schemas.openxmlformats.org/drawingml/2006/picture">
                <pic:pic>
                  <pic:nvPicPr>
                    <pic:cNvPr descr="/nas/cee-water/cjgleason/craig/CONUS_ephemeral/cache/validationMap.jpg" id="66" name="Picture"/>
                    <pic:cNvPicPr>
                      <a:picLocks noChangeArrowheads="1" noChangeAspect="1"/>
                    </pic:cNvPicPr>
                  </pic:nvPicPr>
                  <pic:blipFill>
                    <a:blip r:embed="rId6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S2: Regional validations of the ephemeral stream classification model against completely independent field assessments of stream ephemerality: (A) regional model true skill score and (B) number of field-observations per region. The average number of regional observations is 376.</w:t>
      </w:r>
    </w:p>
    <w:p>
      <w:pPr>
        <w:pStyle w:val="CaptionedFigure"/>
      </w:pPr>
      <w:r>
        <w:drawing>
          <wp:inline>
            <wp:extent cx="5943600" cy="7132320"/>
            <wp:effectExtent b="0" l="0" r="0" t="0"/>
            <wp:docPr descr="Fig. S3: Regional validations of the ephemeral stream classification model against completely independent field assessments of stream ephemerality: (A) regional model classification sensitivity and (B) specificity." title="" id="68" name="Picture"/>
            <a:graphic>
              <a:graphicData uri="http://schemas.openxmlformats.org/drawingml/2006/picture">
                <pic:pic>
                  <pic:nvPicPr>
                    <pic:cNvPr descr="/nas/cee-water/cjgleason/craig/CONUS_ephemeral/cache/validationMap2.jp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S3: Regional validations of the ephemeral stream classification model against completely independent field assessments of stream ephemerality: (A) regional model classification sensitivity and (B) specificity.</w:t>
      </w:r>
    </w:p>
    <w:p>
      <w:pPr>
        <w:pStyle w:val="CaptionedFigure"/>
      </w:pPr>
      <w:r>
        <w:drawing>
          <wp:inline>
            <wp:extent cx="5943600" cy="5283200"/>
            <wp:effectExtent b="0" l="0" r="0" t="0"/>
            <wp:docPr descr="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71" name="Picture"/>
            <a:graphic>
              <a:graphicData uri="http://schemas.openxmlformats.org/drawingml/2006/picture">
                <pic:pic>
                  <pic:nvPicPr>
                    <pic:cNvPr descr="/nas/cee-water/cjgleason/craig/CONUS_ephemeral/cache/boxPlots_classification.jpg" id="72" name="Picture"/>
                    <pic:cNvPicPr>
                      <a:picLocks noChangeArrowheads="1" noChangeAspect="1"/>
                    </pic:cNvPicPr>
                  </pic:nvPicPr>
                  <pic:blipFill>
                    <a:blip r:embed="rId7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283200"/>
            <wp:effectExtent b="0" l="0" r="0" t="0"/>
            <wp:docPr descr="Fig. S5: Scaling model for CONUS ephemeral stream network. Orange points are associated with hydrography reaches while the green point is the number of ephemeral streams not associated with reaches and on streams too small to be included in the hydrography. 1 additional order is needed to ‘capture’ the green point and match this observed pattern in our data (See section 3.3 and Fig. S6)." title="" id="74" name="Picture"/>
            <a:graphic>
              <a:graphicData uri="http://schemas.openxmlformats.org/drawingml/2006/picture">
                <pic:pic>
                  <pic:nvPicPr>
                    <pic:cNvPr descr="/nas/cee-water/cjgleason/craig/CONUS_ephemeral/cache/scalingModel.jpg" id="75" name="Picture"/>
                    <pic:cNvPicPr>
                      <a:picLocks noChangeArrowheads="1" noChangeAspect="1"/>
                    </pic:cNvPicPr>
                  </pic:nvPicPr>
                  <pic:blipFill>
                    <a:blip r:embed="rId7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Scaling model for CONUS ephemeral stream network. Orange points are associated with hydrography reaches while the green point is the number of ephemeral streams not associated with reaches and on streams too small to be included in the hydrography.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and Fig. S6).</w:t>
      </w:r>
    </w:p>
    <w:p>
      <w:pPr>
        <w:pStyle w:val="CaptionedFigure"/>
      </w:pPr>
      <w:r>
        <w:drawing>
          <wp:inline>
            <wp:extent cx="5943600" cy="5283200"/>
            <wp:effectExtent b="0" l="0" r="0" t="0"/>
            <wp:docPr descr="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77" name="Picture"/>
            <a:graphic>
              <a:graphicData uri="http://schemas.openxmlformats.org/drawingml/2006/picture">
                <pic:pic>
                  <pic:nvPicPr>
                    <pic:cNvPr descr="/nas/cee-water/cjgleason/craig/CONUS_ephemeral/cache/acc_sens_to_snapping.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7: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 title="" id="80" name="Picture"/>
            <a:graphic>
              <a:graphicData uri="http://schemas.openxmlformats.org/drawingml/2006/picture">
                <pic:pic>
                  <pic:nvPicPr>
                    <pic:cNvPr descr="/nas/cee-water/cjgleason/craig/CONUS_ephemeral/cache/snappingThreshTradeOff.jpg" id="81" name="Picture"/>
                    <pic:cNvPicPr>
                      <a:picLocks noChangeArrowheads="1" noChangeAspect="1"/>
                    </pic:cNvPicPr>
                  </pic:nvPicPr>
                  <pic:blipFill>
                    <a:blip r:embed="rId7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S7: Sensitivity test of the snapping threshold used to join field assessments of ephemerality to the drainage network. Green line is the number of additional stream orders (equation S5, given a snapping threshold). Purple line is the mean absolute error (MAE) of the Horton law of stream numbers (equation S4), given a snapping threshold. MAE should be smallest when the data best fit Horton’s laws, indicating that we are not missassinging field data to the wrong rivers (sections 1.4 and 3.3).</w:t>
      </w:r>
    </w:p>
    <w:p>
      <w:pPr>
        <w:pStyle w:val="CaptionedFigure"/>
      </w:pPr>
      <w:r>
        <w:drawing>
          <wp:inline>
            <wp:extent cx="5943600" cy="4953000"/>
            <wp:effectExtent b="0" l="0" r="0" t="0"/>
            <wp:docPr descr="Fig. S8: Assessing our runoff threshold model (i_{min} via equation S7) by comparing it against a calibrated i_{min} (section 4.2). (A) Global-scope calibration of i_{min} to available N_{flw} data (section 4.1). (B) CONUS distribution of basin i_{min} calculated using equation S7. The latter model is the one used to generate the Fig. 3 results." title="" id="83" name="Picture"/>
            <a:graphic>
              <a:graphicData uri="http://schemas.openxmlformats.org/drawingml/2006/picture">
                <pic:pic>
                  <pic:nvPicPr>
                    <pic:cNvPr descr="/nas/cee-water/cjgleason/craig/CONUS_ephemeral/cache/runoffThresh_fitting.jpg" id="84" name="Picture"/>
                    <pic:cNvPicPr>
                      <a:picLocks noChangeArrowheads="1" noChangeAspect="1"/>
                    </pic:cNvPicPr>
                  </pic:nvPicPr>
                  <pic:blipFill>
                    <a:blip r:embed="rId8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S8: Assessing our runoff threshold model (</w:t>
      </w:r>
      <m:oMath>
        <m:sSub>
          <m:e>
            <m:r>
              <m:t>i</m:t>
            </m:r>
          </m:e>
          <m:sub>
            <m:r>
              <m:t>m</m:t>
            </m:r>
            <m:r>
              <m:t>i</m:t>
            </m:r>
            <m:r>
              <m:t>n</m:t>
            </m:r>
          </m:sub>
        </m:sSub>
      </m:oMath>
      <w:r>
        <w:t xml:space="preserve"> </w:t>
      </w:r>
      <w:r>
        <w:t xml:space="preserve">via equation S7) by comparing it against a calibrated</w:t>
      </w:r>
      <w:r>
        <w:t xml:space="preserve"> </w:t>
      </w:r>
      <m:oMath>
        <m:sSub>
          <m:e>
            <m:r>
              <m:t>i</m:t>
            </m:r>
          </m:e>
          <m:sub>
            <m:r>
              <m:t>m</m:t>
            </m:r>
            <m:r>
              <m:t>i</m:t>
            </m:r>
            <m:r>
              <m:t>n</m:t>
            </m:r>
          </m:sub>
        </m:sSub>
      </m:oMath>
      <w:r>
        <w:t xml:space="preserve"> </w:t>
      </w:r>
      <w:r>
        <w:t xml:space="preserve">(section 4.2).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4.1). (B) CONUS distribution of basin</w:t>
      </w:r>
      <w:r>
        <w:t xml:space="preserve"> </w:t>
      </w:r>
      <m:oMath>
        <m:sSub>
          <m:e>
            <m:r>
              <m:t>i</m:t>
            </m:r>
          </m:e>
          <m:sub>
            <m:r>
              <m:t>m</m:t>
            </m:r>
            <m:r>
              <m:t>i</m:t>
            </m:r>
            <m:r>
              <m:t>n</m:t>
            </m:r>
          </m:sub>
        </m:sSub>
      </m:oMath>
      <w:r>
        <w:t xml:space="preserve"> </w:t>
      </w:r>
      <w:r>
        <w:t xml:space="preserve">calculated using equation S7. The latter model is the one used to generate the Fig. 3 results.</w:t>
      </w:r>
    </w:p>
    <w:p>
      <w:pPr>
        <w:pStyle w:val="CaptionedFigure"/>
      </w:pPr>
      <w:r>
        <w:drawing>
          <wp:inline>
            <wp:extent cx="5943600" cy="5943600"/>
            <wp:effectExtent b="0" l="0" r="0" t="0"/>
            <wp:docPr descr="Fig. S9: Sensitivity test for N_{flw} (section 4.2), resulting in boxplots of the basin-averaged, mean annual number of days that ephemeral streams flow (white boxplot is equivalent to Fig. 3a). Table S5 details the runoff scenarios used." title="" id="86" name="Picture"/>
            <a:graphic>
              <a:graphicData uri="http://schemas.openxmlformats.org/drawingml/2006/picture">
                <pic:pic>
                  <pic:nvPicPr>
                    <pic:cNvPr descr="/nas/cee-water/cjgleason/craig/CONUS_ephemeral/cache/boxPlots_sensitivity.jp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S9: Sensitivity test for</w:t>
      </w:r>
      <w:r>
        <w:t xml:space="preserve"> </w:t>
      </w:r>
      <m:oMath>
        <m:sSub>
          <m:e>
            <m:r>
              <m:t>N</m:t>
            </m:r>
          </m:e>
          <m:sub>
            <m:r>
              <m:t>f</m:t>
            </m:r>
            <m:r>
              <m:t>l</m:t>
            </m:r>
            <m:r>
              <m:t>w</m:t>
            </m:r>
          </m:sub>
        </m:sSub>
      </m:oMath>
      <w:r>
        <w:t xml:space="preserve"> </w:t>
      </w:r>
      <w:r>
        <w:t xml:space="preserve">(section 4.2), resulting in boxplots of the basin-averaged, mean annual number of days that ephemeral streams flow (white boxplot is equivalent to Fig. 3a). Table S5 details the runoff scenarios used.</w:t>
      </w:r>
    </w:p>
    <w:p>
      <w:pPr>
        <w:pStyle w:val="CaptionedFigure"/>
      </w:pPr>
      <w:r>
        <w:drawing>
          <wp:inline>
            <wp:extent cx="5943600" cy="7429500"/>
            <wp:effectExtent b="0" l="0" r="0" t="0"/>
            <wp:docPr descr="Fig. S10: Sample of 16/205 drainage network hydrography classified using our model. Sub-plot titles refer to the relative and absolute fractions of ephemeral water discharge from each drainage network. Note that foreign streams are mapped as ‘not ephemeral’ in these plots for visualization’s sake (e.g. lower Colorado in sub-panel (D)." title="" id="89" name="Picture"/>
            <a:graphic>
              <a:graphicData uri="http://schemas.openxmlformats.org/drawingml/2006/picture">
                <pic:pic>
                  <pic:nvPicPr>
                    <pic:cNvPr descr="/nas/cee-water/cjgleason/craig/CONUS_ephemeral/cache/hydrographyMaps.jpg" id="90" name="Picture"/>
                    <pic:cNvPicPr>
                      <a:picLocks noChangeArrowheads="1" noChangeAspect="1"/>
                    </pic:cNvPicPr>
                  </pic:nvPicPr>
                  <pic:blipFill>
                    <a:blip r:embed="rId8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S10: Sample of 16/205 drainage network hydrography classified using our model. Sub-plot titles refer to the relative and absolute fractions of ephemeral water discharge from each drainage network.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w:t>
      </w:r>
    </w:p>
    <w:p>
      <w:pPr>
        <w:pStyle w:val="CaptionedFigure"/>
      </w:pPr>
      <w:r>
        <w:drawing>
          <wp:inline>
            <wp:extent cx="5943600" cy="4457700"/>
            <wp:effectExtent b="0" l="0" r="0" t="0"/>
            <wp:docPr descr="Fig. S11: Assessing ephemeral streams by landscape contribution Contiguous United States map of the basin fraction (% drainage area) that is ephemeral (equation S2)." title="" id="92" name="Picture"/>
            <a:graphic>
              <a:graphicData uri="http://schemas.openxmlformats.org/drawingml/2006/picture">
                <pic:pic>
                  <pic:nvPicPr>
                    <pic:cNvPr descr="/nas/cee-water/cjgleason/craig/CONUS_ephemeral/cache/drainageAreaMap.jpg" id="93" name="Picture"/>
                    <pic:cNvPicPr>
                      <a:picLocks noChangeArrowheads="1" noChangeAspect="1"/>
                    </pic:cNvPicPr>
                  </pic:nvPicPr>
                  <pic:blipFill>
                    <a:blip r:embed="rId9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S11: Assessing ephemeral streams by landscape contribution Contiguous United States map of the basin fraction (% drainage area) that is ephemeral (equation S2).</w:t>
      </w:r>
    </w:p>
    <w:bookmarkEnd w:id="94"/>
    <w:bookmarkStart w:id="95"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4.1.</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19</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19</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18</w:t>
            </w:r>
            <w:r>
              <w:t xml:space="preserve">)</w:t>
            </w:r>
            <w:r>
              <w:t xml:space="preserve">;</w:t>
            </w:r>
            <w:r>
              <w:t xml:space="preserve"> </w:t>
            </w:r>
            <w:r>
              <w:t xml:space="preserve">(</w:t>
            </w:r>
            <w:r>
              <w:rPr>
                <w:iCs/>
                <w:i/>
              </w:rPr>
              <w:t xml:space="preserve">33</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55</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21</w:t>
            </w:r>
            <w:r>
              <w:t xml:space="preserve">)</w:t>
            </w:r>
            <w:r>
              <w:t xml:space="preserve">;</w:t>
            </w:r>
            <w:r>
              <w:t xml:space="preserve"> </w:t>
            </w:r>
            <w:r>
              <w:t xml:space="preserve">(</w:t>
            </w:r>
            <w:r>
              <w:rPr>
                <w:iCs/>
                <w:i/>
              </w:rPr>
              <w:t xml:space="preserve">56</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20</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30</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 (Fig. 2b). Uncertainty refers to 1</w:t>
      </w:r>
      <m:oMath>
        <m:r>
          <m:t>σ</m:t>
        </m:r>
      </m:oMath>
      <w:r>
        <w:t xml:space="preserve"> </w:t>
      </w:r>
      <w:r>
        <w:t xml:space="preserve">from the Monte Carlo simulations (section 5).</w:t>
      </w:r>
    </w:p>
    <w:tbl>
      <w:tblPr>
        <w:tblStyle w:val="Table"/>
        <w:tblW w:type="pct" w:w="5000"/>
        <w:tblLook w:firstRow="1" w:lastRow="0" w:firstColumn="0" w:lastColumn="0" w:noHBand="0" w:noVBand="0" w:val="0020"/>
      </w:tblPr>
      <w:tblGrid>
        <w:gridCol w:w="337"/>
        <w:gridCol w:w="1965"/>
        <w:gridCol w:w="954"/>
        <w:gridCol w:w="1348"/>
        <w:gridCol w:w="898"/>
        <w:gridCol w:w="1123"/>
        <w:gridCol w:w="1291"/>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Model Uncertainty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41</w:t>
            </w:r>
          </w:p>
        </w:tc>
        <w:tc>
          <w:tcPr/>
          <w:p>
            <w:pPr>
              <w:pStyle w:val="Compact"/>
              <w:jc w:val="right"/>
            </w:pPr>
            <w:r>
              <w:t xml:space="preserve">14</w:t>
            </w:r>
          </w:p>
        </w:tc>
        <w:tc>
          <w:tcPr/>
          <w:p>
            <w:pPr>
              <w:pStyle w:val="Compact"/>
              <w:jc w:val="left"/>
            </w:pPr>
            <w:r>
              <w:t xml:space="preserve">Duke Forest</w:t>
            </w:r>
          </w:p>
        </w:tc>
        <w:tc>
          <w:tcPr/>
          <w:p>
            <w:pPr>
              <w:pStyle w:val="Compact"/>
              <w:jc w:val="right"/>
            </w:pPr>
            <w:r>
              <w:t xml:space="preserve">59</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42</w:t>
            </w:r>
          </w:p>
        </w:tc>
        <w:tc>
          <w:tcPr/>
          <w:p>
            <w:pPr>
              <w:pStyle w:val="Compact"/>
              <w:jc w:val="right"/>
            </w:pPr>
            <w:r>
              <w:t xml:space="preserve">21</w:t>
            </w:r>
          </w:p>
        </w:tc>
        <w:tc>
          <w:tcPr/>
          <w:p>
            <w:pPr>
              <w:pStyle w:val="Compact"/>
              <w:jc w:val="left"/>
            </w:pPr>
            <w:r>
              <w:t xml:space="preserve">Guelph</w:t>
            </w:r>
          </w:p>
        </w:tc>
        <w:tc>
          <w:tcPr/>
          <w:p>
            <w:pPr>
              <w:pStyle w:val="Compact"/>
              <w:jc w:val="right"/>
            </w:pPr>
            <w:r>
              <w:t xml:space="preserve">57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4</w:t>
            </w:r>
          </w:p>
        </w:tc>
        <w:tc>
          <w:tcPr/>
          <w:p>
            <w:pPr>
              <w:pStyle w:val="Compact"/>
              <w:jc w:val="right"/>
            </w:pPr>
            <w:r>
              <w:t xml:space="preserve">5</w:t>
            </w:r>
          </w:p>
        </w:tc>
        <w:tc>
          <w:tcPr/>
          <w:p>
            <w:pPr>
              <w:pStyle w:val="Compact"/>
              <w:jc w:val="left"/>
            </w:pPr>
            <w:r>
              <w:t xml:space="preserve">Goldwater</w:t>
            </w:r>
          </w:p>
        </w:tc>
        <w:tc>
          <w:tcPr/>
          <w:p>
            <w:pPr>
              <w:pStyle w:val="Compact"/>
              <w:jc w:val="right"/>
            </w:pPr>
            <w:r>
              <w:t xml:space="preserve">1</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Huachuca</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Mohave</w:t>
            </w:r>
          </w:p>
        </w:tc>
        <w:tc>
          <w:tcPr/>
          <w:p>
            <w:pPr>
              <w:pStyle w:val="Compact"/>
              <w:jc w:val="right"/>
            </w:pPr>
            <w:r>
              <w:t xml:space="preserve">2</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11</w:t>
            </w:r>
          </w:p>
        </w:tc>
        <w:tc>
          <w:tcPr/>
          <w:p>
            <w:pPr>
              <w:pStyle w:val="Compact"/>
              <w:jc w:val="right"/>
            </w:pPr>
            <w:r>
              <w:t xml:space="preserve">12</w:t>
            </w:r>
          </w:p>
        </w:tc>
        <w:tc>
          <w:tcPr/>
          <w:p>
            <w:pPr>
              <w:pStyle w:val="Compact"/>
              <w:jc w:val="left"/>
            </w:pPr>
            <w:r>
              <w:t xml:space="preserve">Montoyas</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40</w:t>
            </w:r>
          </w:p>
        </w:tc>
        <w:tc>
          <w:tcPr/>
          <w:p>
            <w:pPr>
              <w:pStyle w:val="Compact"/>
              <w:jc w:val="right"/>
            </w:pPr>
            <w:r>
              <w:t xml:space="preserve">15</w:t>
            </w:r>
          </w:p>
        </w:tc>
        <w:tc>
          <w:tcPr/>
          <w:p>
            <w:pPr>
              <w:pStyle w:val="Compact"/>
              <w:jc w:val="left"/>
            </w:pPr>
            <w:r>
              <w:t xml:space="preserve">Reynolds Creek</w:t>
            </w:r>
          </w:p>
        </w:tc>
        <w:tc>
          <w:tcPr/>
          <w:p>
            <w:pPr>
              <w:pStyle w:val="Compact"/>
              <w:jc w:val="right"/>
            </w:pPr>
            <w:r>
              <w:t xml:space="preserve">28</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54</w:t>
            </w:r>
          </w:p>
        </w:tc>
        <w:tc>
          <w:tcPr/>
          <w:p>
            <w:pPr>
              <w:pStyle w:val="Compact"/>
              <w:jc w:val="right"/>
            </w:pPr>
            <w:r>
              <w:t xml:space="preserve">13</w:t>
            </w:r>
          </w:p>
        </w:tc>
        <w:tc>
          <w:tcPr/>
          <w:p>
            <w:pPr>
              <w:pStyle w:val="Compact"/>
              <w:jc w:val="left"/>
            </w:pPr>
            <w:r>
              <w:t xml:space="preserve">Robinson Forest</w:t>
            </w:r>
          </w:p>
        </w:tc>
        <w:tc>
          <w:tcPr/>
          <w:p>
            <w:pPr>
              <w:pStyle w:val="Compact"/>
              <w:jc w:val="right"/>
            </w:pPr>
            <w:r>
              <w:t xml:space="preserve">50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Santa Rita</w:t>
            </w:r>
          </w:p>
        </w:tc>
        <w:tc>
          <w:tcPr/>
          <w:p>
            <w:pPr>
              <w:pStyle w:val="Compact"/>
              <w:jc w:val="right"/>
            </w:pPr>
            <w:r>
              <w:t xml:space="preserve">10</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Walnut Gulch</w:t>
            </w:r>
          </w:p>
        </w:tc>
        <w:tc>
          <w:tcPr/>
          <w:p>
            <w:pPr>
              <w:pStyle w:val="Compact"/>
              <w:jc w:val="right"/>
            </w:pPr>
            <w:r>
              <w:t xml:space="preserve">7</w:t>
            </w:r>
          </w:p>
        </w:tc>
        <w:tc>
          <w:tcPr/>
          <w:p>
            <w:pPr>
              <w:pStyle w:val="Compact"/>
              <w:jc w:val="left"/>
            </w:pPr>
            <w:r>
              <w:t xml:space="preserve">Moran et al. 2008</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Yuma</w:t>
            </w:r>
          </w:p>
        </w:tc>
        <w:tc>
          <w:tcPr/>
          <w:p>
            <w:pPr>
              <w:pStyle w:val="Compact"/>
              <w:jc w:val="right"/>
            </w:pPr>
            <w:r>
              <w:t xml:space="preserve">2</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95"/>
    <w:bookmarkStart w:id="204" w:name="references-1"/>
    <w:p>
      <w:pPr>
        <w:pStyle w:val="Heading2"/>
      </w:pPr>
      <w:r>
        <w:t xml:space="preserve">References</w:t>
      </w:r>
    </w:p>
    <w:bookmarkStart w:id="203" w:name="refs"/>
    <w:bookmarkStart w:id="96"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6"/>
    <w:bookmarkStart w:id="98"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97">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98"/>
    <w:bookmarkStart w:id="100"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99">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0"/>
    <w:bookmarkStart w:id="102" w:name="ref-schmidtExportPlasticDebris2017"/>
    <w:p>
      <w:pPr>
        <w:pStyle w:val="Bibliography"/>
      </w:pPr>
      <w:r>
        <w:t xml:space="preserve">4.</w:t>
      </w:r>
      <w:r>
        <w:t xml:space="preserve"> </w:t>
      </w:r>
      <w:r>
        <w:t xml:space="preserve">	</w:t>
      </w:r>
      <w:r>
        <w:t xml:space="preserve">C. Schmidt, T. Krauth, S. Wagner,</w:t>
      </w:r>
      <w:r>
        <w:t xml:space="preserve"> </w:t>
      </w:r>
      <w:hyperlink r:id="rId101">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2"/>
    <w:bookmarkStart w:id="104"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3">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04"/>
    <w:bookmarkStart w:id="106"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05">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6"/>
    <w:bookmarkStart w:id="108"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07">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08"/>
    <w:bookmarkStart w:id="110" w:name="ref-keiserConsequencesCleanWater2019"/>
    <w:p>
      <w:pPr>
        <w:pStyle w:val="Bibliography"/>
      </w:pPr>
      <w:r>
        <w:t xml:space="preserve">8.</w:t>
      </w:r>
      <w:r>
        <w:t xml:space="preserve"> </w:t>
      </w:r>
      <w:r>
        <w:t xml:space="preserve">	</w:t>
      </w:r>
      <w:r>
        <w:t xml:space="preserve">D. A. Keiser, J. S. Shapiro,</w:t>
      </w:r>
      <w:r>
        <w:t xml:space="preserve"> </w:t>
      </w:r>
      <w:hyperlink r:id="rId109">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0"/>
    <w:bookmarkStart w:id="112" w:name="X4cbaa18e4fdaf80b55dfcf94dea6242feacc7e1"/>
    <w:p>
      <w:pPr>
        <w:pStyle w:val="Bibliography"/>
      </w:pPr>
      <w:r>
        <w:t xml:space="preserve">9.</w:t>
      </w:r>
      <w:r>
        <w:t xml:space="preserve"> </w:t>
      </w:r>
      <w:r>
        <w:t xml:space="preserve">	</w:t>
      </w:r>
      <w:r>
        <w:t xml:space="preserve">M. L. Messager, B. Lehner, C. Cockburn, N. Lamouroux, H. Pella, T. Snelder, K. Tockner, T. Trautmann, C. Watt, T. Datry,</w:t>
      </w:r>
      <w:r>
        <w:t xml:space="preserve"> </w:t>
      </w:r>
      <w:hyperlink r:id="rId111">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2"/>
    <w:bookmarkStart w:id="114" w:name="X5ddc728d0d046edafc733f8139539592e1622e0"/>
    <w:p>
      <w:pPr>
        <w:pStyle w:val="Bibliography"/>
      </w:pPr>
      <w:r>
        <w:t xml:space="preserve">10.</w:t>
      </w:r>
      <w:r>
        <w:t xml:space="preserve"> </w:t>
      </w:r>
      <w:r>
        <w:t xml:space="preserve">	</w:t>
      </w:r>
      <w:r>
        <w:t xml:space="preserve">K. L. Jaeger, R. Sando, R. R. McShane, J. B. Dunham, D. P. Hockman-Wert, K. E. Kaiser, K. Hafen, J. C. Risley, K. W. Blasch,</w:t>
      </w:r>
      <w:r>
        <w:t xml:space="preserve"> </w:t>
      </w:r>
      <w:hyperlink r:id="rId113">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4"/>
    <w:bookmarkStart w:id="116" w:name="Xacfc03714338368f8f1046508d19757d0530a44"/>
    <w:p>
      <w:pPr>
        <w:pStyle w:val="Bibliography"/>
      </w:pPr>
      <w:r>
        <w:t xml:space="preserve">11.</w:t>
      </w:r>
      <w:r>
        <w:t xml:space="preserve"> </w:t>
      </w:r>
      <w:r>
        <w:t xml:space="preserve">	</w:t>
      </w:r>
      <w:r>
        <w:t xml:space="preserve">N. Durighetto, V. Mariotto, F. Zanetti, K. J. McGuire, G. Mendicino, A. Senatore, G. Botter,</w:t>
      </w:r>
      <w:r>
        <w:t xml:space="preserve"> </w:t>
      </w:r>
      <w:hyperlink r:id="rId115">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16"/>
    <w:bookmarkStart w:id="118" w:name="ref-russellSpatiallyExplicitModel2015"/>
    <w:p>
      <w:pPr>
        <w:pStyle w:val="Bibliography"/>
      </w:pPr>
      <w:r>
        <w:t xml:space="preserve">12.</w:t>
      </w:r>
      <w:r>
        <w:t xml:space="preserve"> </w:t>
      </w:r>
      <w:r>
        <w:t xml:space="preserve">	</w:t>
      </w:r>
      <w:r>
        <w:t xml:space="preserve">P. P. Russell, S. M. Gale, B. Muñoz, J. R. Dorney, M. J. Rubino,</w:t>
      </w:r>
      <w:r>
        <w:t xml:space="preserve"> </w:t>
      </w:r>
      <w:hyperlink r:id="rId117">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18"/>
    <w:bookmarkStart w:id="120" w:name="ref-fesenmyerLargePortionUSA2021"/>
    <w:p>
      <w:pPr>
        <w:pStyle w:val="Bibliography"/>
      </w:pPr>
      <w:r>
        <w:t xml:space="preserve">13.</w:t>
      </w:r>
      <w:r>
        <w:t xml:space="preserve"> </w:t>
      </w:r>
      <w:r>
        <w:t xml:space="preserve">	</w:t>
      </w:r>
      <w:r>
        <w:t xml:space="preserve">K. A. Fesenmyer, S. J. Wenger, D. S. Leigh, H. M. Neville,</w:t>
      </w:r>
      <w:r>
        <w:t xml:space="preserve"> </w:t>
      </w:r>
      <w:hyperlink r:id="rId119">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0"/>
    <w:bookmarkStart w:id="122" w:name="ref-alexanderRoleHeadwaterStreams2007"/>
    <w:p>
      <w:pPr>
        <w:pStyle w:val="Bibliography"/>
      </w:pPr>
      <w:r>
        <w:t xml:space="preserve">14.</w:t>
      </w:r>
      <w:r>
        <w:t xml:space="preserve"> </w:t>
      </w:r>
      <w:r>
        <w:t xml:space="preserve">	</w:t>
      </w:r>
      <w:r>
        <w:t xml:space="preserve">R. B. Alexander, E. W. Boyer, R. A. Smith, G. E. Schwarz, R. B. Moore,</w:t>
      </w:r>
      <w:r>
        <w:t xml:space="preserve"> </w:t>
      </w:r>
      <w:hyperlink r:id="rId12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Headwater Streams</w:t>
        </w:r>
        <w:r>
          <w:rPr>
            <w:rStyle w:val="Hyperlink"/>
          </w:rPr>
          <w:t xml:space="preserve"> </w:t>
        </w:r>
        <w:r>
          <w:rPr>
            <w:rStyle w:val="Hyperlink"/>
          </w:rPr>
          <w:t xml:space="preserve">in</w:t>
        </w:r>
        <w:r>
          <w:rPr>
            <w:rStyle w:val="Hyperlink"/>
          </w:rPr>
          <w:t xml:space="preserve"> </w:t>
        </w:r>
        <w:r>
          <w:rPr>
            <w:rStyle w:val="Hyperlink"/>
          </w:rPr>
          <w:t xml:space="preserve">Downstream Water Quality1</w:t>
        </w:r>
      </w:hyperlink>
      <w:r>
        <w:t xml:space="preserve">.</w:t>
      </w:r>
      <w:r>
        <w:t xml:space="preserve"> </w:t>
      </w:r>
      <w:r>
        <w:rPr>
          <w:iCs/>
          <w:i/>
        </w:rPr>
        <w:t xml:space="preserve">JAWRA Journal of the American Water Resources Association</w:t>
      </w:r>
      <w:r>
        <w:t xml:space="preserve">.</w:t>
      </w:r>
      <w:r>
        <w:t xml:space="preserve"> </w:t>
      </w:r>
      <w:r>
        <w:rPr>
          <w:bCs/>
          <w:b/>
        </w:rPr>
        <w:t xml:space="preserve">43</w:t>
      </w:r>
      <w:r>
        <w:t xml:space="preserve">, 41–59 (2007).</w:t>
      </w:r>
    </w:p>
    <w:bookmarkEnd w:id="122"/>
    <w:bookmarkStart w:id="124" w:name="X32debb9a7c95cb0079019b0e5b03618833557a3"/>
    <w:p>
      <w:pPr>
        <w:pStyle w:val="Bibliography"/>
      </w:pPr>
      <w:r>
        <w:t xml:space="preserve">15.</w:t>
      </w:r>
      <w:r>
        <w:t xml:space="preserve"> </w:t>
      </w:r>
      <w:r>
        <w:t xml:space="preserve">	</w:t>
      </w:r>
      <w:r>
        <w:t xml:space="preserve">K. M. Fritz, K. A. Schofield, L. C. Alexander, M. G. McManus, H. E. Golden, C. R. Lane, W. G. Kepner, S. D. LeDuc, J. E. DeMeester, A. I. Pollard,</w:t>
      </w:r>
      <w:r>
        <w:t xml:space="preserve"> </w:t>
      </w:r>
      <w:hyperlink r:id="rId123">
        <w:r>
          <w:rPr>
            <w:rStyle w:val="Hyperlink"/>
          </w:rPr>
          <w:t xml:space="preserve">Physical and</w:t>
        </w:r>
        <w:r>
          <w:rPr>
            <w:rStyle w:val="Hyperlink"/>
          </w:rPr>
          <w:t xml:space="preserve"> </w:t>
        </w:r>
        <w:r>
          <w:rPr>
            <w:rStyle w:val="Hyperlink"/>
          </w:rPr>
          <w:t xml:space="preserve">Chemical 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Riparian Wetlands</w:t>
        </w:r>
        <w:r>
          <w:rPr>
            <w:rStyle w:val="Hyperlink"/>
          </w:rPr>
          <w:t xml:space="preserve"> </w:t>
        </w:r>
        <w:r>
          <w:rPr>
            <w:rStyle w:val="Hyperlink"/>
          </w:rPr>
          <w:t xml:space="preserve">to</w:t>
        </w:r>
        <w:r>
          <w:rPr>
            <w:rStyle w:val="Hyperlink"/>
          </w:rPr>
          <w:t xml:space="preserve"> </w:t>
        </w:r>
        <w:r>
          <w:rPr>
            <w:rStyle w:val="Hyperlink"/>
          </w:rPr>
          <w:t xml:space="preserve">Downstream Waters</w:t>
        </w:r>
        <w:r>
          <w:rPr>
            <w:rStyle w:val="Hyperlink"/>
          </w:rPr>
          <w:t xml:space="preserve">:</w:t>
        </w:r>
        <w:r>
          <w:rPr>
            <w:rStyle w:val="Hyperlink"/>
          </w:rPr>
          <w:t xml:space="preserve"> </w:t>
        </w:r>
        <w:r>
          <w:rPr>
            <w:rStyle w:val="Hyperlink"/>
          </w:rPr>
          <w:t xml:space="preserve">A Synthesis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323–345 (2018).</w:t>
      </w:r>
    </w:p>
    <w:bookmarkEnd w:id="124"/>
    <w:bookmarkStart w:id="126" w:name="ref-sullivanDistortingSciencePutting2020"/>
    <w:p>
      <w:pPr>
        <w:pStyle w:val="Bibliography"/>
      </w:pPr>
      <w:r>
        <w:t xml:space="preserve">16.</w:t>
      </w:r>
      <w:r>
        <w:t xml:space="preserve"> </w:t>
      </w:r>
      <w:r>
        <w:t xml:space="preserve">	</w:t>
      </w:r>
      <w:r>
        <w:t xml:space="preserve">S. M. P. Sullivan, M. C. Rains, A. D. Rodewald, W. W. Buzbee, A. D. Rosemond,</w:t>
      </w:r>
      <w:r>
        <w:t xml:space="preserve"> </w:t>
      </w:r>
      <w:hyperlink r:id="rId125">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26"/>
    <w:bookmarkStart w:id="127" w:name="ref-MaterialsMethodsAre"/>
    <w:p>
      <w:pPr>
        <w:pStyle w:val="Bibliography"/>
      </w:pPr>
      <w:r>
        <w:t xml:space="preserve">17.</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27"/>
    <w:bookmarkStart w:id="129" w:name="ref-fanHydrologicRegulationPlant2017"/>
    <w:p>
      <w:pPr>
        <w:pStyle w:val="Bibliography"/>
      </w:pPr>
      <w:r>
        <w:t xml:space="preserve">18.</w:t>
      </w:r>
      <w:r>
        <w:t xml:space="preserve"> </w:t>
      </w:r>
      <w:r>
        <w:t xml:space="preserve">	</w:t>
      </w:r>
      <w:r>
        <w:t xml:space="preserve">Y. Fan, G. Miguez-Macho, E. G. Jobbágy, R. B. Jackson, C. Otero-Casal,</w:t>
      </w:r>
      <w:r>
        <w:t xml:space="preserve"> </w:t>
      </w:r>
      <w:hyperlink r:id="rId128">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29"/>
    <w:bookmarkStart w:id="130" w:name="X73c7b07c81a200f9b6c2100996edbae31903681"/>
    <w:p>
      <w:pPr>
        <w:pStyle w:val="Bibliography"/>
      </w:pPr>
      <w:r>
        <w:t xml:space="preserve">19.</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30"/>
    <w:bookmarkStart w:id="132" w:name="Xc13605aa71659fd417385d10b52c30d088d28b7"/>
    <w:p>
      <w:pPr>
        <w:pStyle w:val="Bibliography"/>
      </w:pPr>
      <w:r>
        <w:t xml:space="preserve">20.</w:t>
      </w:r>
      <w:r>
        <w:t xml:space="preserve"> </w:t>
      </w:r>
      <w:r>
        <w:t xml:space="preserve">	</w:t>
      </w:r>
      <w:r>
        <w:t xml:space="preserve">J. w. Brakebill, D. m. Wolock, S. e. Terziotti,</w:t>
      </w:r>
      <w:r>
        <w:t xml:space="preserve"> </w:t>
      </w:r>
      <w:hyperlink r:id="rId131">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32"/>
    <w:bookmarkStart w:id="134" w:name="ref-xieGaugeBasedAnalysisDaily2007"/>
    <w:p>
      <w:pPr>
        <w:pStyle w:val="Bibliography"/>
      </w:pPr>
      <w:r>
        <w:t xml:space="preserve">21.</w:t>
      </w:r>
      <w:r>
        <w:t xml:space="preserve"> </w:t>
      </w:r>
      <w:r>
        <w:t xml:space="preserve">	</w:t>
      </w:r>
      <w:r>
        <w:t xml:space="preserve">P. Xie, M. Chen, S. Yang, A. Yatagai, T. Hayasaka, Y. Fukushima, C. Liu,</w:t>
      </w:r>
      <w:r>
        <w:t xml:space="preserve"> </w:t>
      </w:r>
      <w:hyperlink r:id="rId133">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34"/>
    <w:bookmarkStart w:id="136" w:name="ref-brinkerhoffLakeMorphometryRiver2021"/>
    <w:p>
      <w:pPr>
        <w:pStyle w:val="Bibliography"/>
      </w:pPr>
      <w:r>
        <w:t xml:space="preserve">22.</w:t>
      </w:r>
      <w:r>
        <w:t xml:space="preserve"> </w:t>
      </w:r>
      <w:r>
        <w:t xml:space="preserve">	</w:t>
      </w:r>
      <w:r>
        <w:t xml:space="preserve">C. B. Brinkerhoff, P. A. Raymond, T. Maavara, Y. Ishitsuka, K. S. Aho, C. J. Gleason,</w:t>
      </w:r>
      <w:r>
        <w:t xml:space="preserve"> </w:t>
      </w:r>
      <w:hyperlink r:id="rId135">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36"/>
    <w:bookmarkStart w:id="138" w:name="ref-gleesonClassifyingWaterTable2011"/>
    <w:p>
      <w:pPr>
        <w:pStyle w:val="Bibliography"/>
      </w:pPr>
      <w:r>
        <w:t xml:space="preserve">23.</w:t>
      </w:r>
      <w:r>
        <w:t xml:space="preserve"> </w:t>
      </w:r>
      <w:r>
        <w:t xml:space="preserve">	</w:t>
      </w:r>
      <w:r>
        <w:t xml:space="preserve">T. Gleeson, L. Marklund, L. Smith, A. H. Manning, Classifying the water table at regional to continental scales.</w:t>
      </w:r>
      <w:r>
        <w:t xml:space="preserve"> </w:t>
      </w:r>
      <w:r>
        <w:rPr>
          <w:iCs/>
          <w:i/>
        </w:rPr>
        <w:t xml:space="preserve">Geophysical Research Letters</w:t>
      </w:r>
      <w:r>
        <w:t xml:space="preserve">.</w:t>
      </w:r>
      <w:r>
        <w:t xml:space="preserve"> </w:t>
      </w:r>
      <w:r>
        <w:rPr>
          <w:bCs/>
          <w:b/>
        </w:rPr>
        <w:t xml:space="preserve">38</w:t>
      </w:r>
      <w:r>
        <w:t xml:space="preserve"> </w:t>
      </w:r>
      <w:r>
        <w:t xml:space="preserve">(2011), doi:</w:t>
      </w:r>
      <w:hyperlink r:id="rId137">
        <w:r>
          <w:rPr>
            <w:rStyle w:val="Hyperlink"/>
          </w:rPr>
          <w:t xml:space="preserve">10.1029/2010GL046427</w:t>
        </w:r>
      </w:hyperlink>
      <w:r>
        <w:t xml:space="preserve">.</w:t>
      </w:r>
    </w:p>
    <w:bookmarkEnd w:id="138"/>
    <w:bookmarkStart w:id="140" w:name="X596dc1c390e117af5b8d52387d08719fdb0a4f5"/>
    <w:p>
      <w:pPr>
        <w:pStyle w:val="Bibliography"/>
      </w:pPr>
      <w:r>
        <w:t xml:space="preserve">24.</w:t>
      </w:r>
      <w:r>
        <w:t xml:space="preserve"> </w:t>
      </w:r>
      <w:r>
        <w:t xml:space="preserve">	</w:t>
      </w:r>
      <w:r>
        <w:t xml:space="preserve">L. E. Condon, R. M. Maxwell,</w:t>
      </w:r>
      <w:r>
        <w:t xml:space="preserve"> </w:t>
      </w:r>
      <w:hyperlink r:id="rId139">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40"/>
    <w:bookmarkStart w:id="142" w:name="Xe078b92bbc4328ad36f5836ace9c836c034d7a9"/>
    <w:p>
      <w:pPr>
        <w:pStyle w:val="Bibliography"/>
      </w:pPr>
      <w:r>
        <w:t xml:space="preserve">25.</w:t>
      </w:r>
      <w:r>
        <w:t xml:space="preserve"> </w:t>
      </w:r>
      <w:r>
        <w:t xml:space="preserve">	</w:t>
      </w:r>
      <w:r>
        <w:t xml:space="preserve">D. c. Goodrich, W. g. Kepner, L. r. Levick, P. j. Wigington Jr.,</w:t>
      </w:r>
      <w:r>
        <w:t xml:space="preserve"> </w:t>
      </w:r>
      <w:hyperlink r:id="rId141">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42"/>
    <w:bookmarkStart w:id="144" w:name="Xd71bd1c96d9a9bc34314e20f66b1b905ee1ba54"/>
    <w:p>
      <w:pPr>
        <w:pStyle w:val="Bibliography"/>
      </w:pPr>
      <w:r>
        <w:t xml:space="preserve">26.</w:t>
      </w:r>
      <w:r>
        <w:t xml:space="preserve"> </w:t>
      </w:r>
      <w:r>
        <w:t xml:space="preserve">	</w:t>
      </w:r>
      <w:r>
        <w:t xml:space="preserve">B. R. Scanlon, C. C. Faunt, L. Longuevergne, R. C. Reedy, W. M. Alley, V. L. McGuire, P. B. McMahon,</w:t>
      </w:r>
      <w:r>
        <w:t xml:space="preserve"> </w:t>
      </w:r>
      <w:hyperlink r:id="rId143">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44"/>
    <w:bookmarkStart w:id="146" w:name="ref-brinkerhoffRemotelySensingRiver2022"/>
    <w:p>
      <w:pPr>
        <w:pStyle w:val="Bibliography"/>
      </w:pPr>
      <w:r>
        <w:t xml:space="preserve">27.</w:t>
      </w:r>
      <w:r>
        <w:t xml:space="preserve"> </w:t>
      </w:r>
      <w:r>
        <w:t xml:space="preserve">	</w:t>
      </w:r>
      <w:r>
        <w:t xml:space="preserve">C. B. Brinkerhoff, C. J. Gleason, C. J. Zappa, P. A. Raymond, M. E. Harlan,</w:t>
      </w:r>
      <w:r>
        <w:t xml:space="preserve"> </w:t>
      </w:r>
      <w:hyperlink r:id="rId145">
        <w:r>
          <w:rPr>
            <w:rStyle w:val="Hyperlink"/>
          </w:rPr>
          <w:t xml:space="preserve">Remotely</w:t>
        </w:r>
        <w:r>
          <w:rPr>
            <w:rStyle w:val="Hyperlink"/>
          </w:rPr>
          <w:t xml:space="preserve"> </w:t>
        </w:r>
        <w:r>
          <w:rPr>
            <w:rStyle w:val="Hyperlink"/>
          </w:rPr>
          <w:t xml:space="preserve">Sensing River Greenhouse Gas Exchange Velocity Using</w:t>
        </w:r>
        <w:r>
          <w:rPr>
            <w:rStyle w:val="Hyperlink"/>
          </w:rPr>
          <w:t xml:space="preserve"> </w:t>
        </w:r>
        <w:r>
          <w:rPr>
            <w:rStyle w:val="Hyperlink"/>
          </w:rPr>
          <w:t xml:space="preserve">the</w:t>
        </w:r>
        <w:r>
          <w:rPr>
            <w:rStyle w:val="Hyperlink"/>
          </w:rPr>
          <w:t xml:space="preserve"> </w:t>
        </w:r>
        <w:r>
          <w:rPr>
            <w:rStyle w:val="Hyperlink"/>
          </w:rPr>
          <w:t xml:space="preserve">SWOT Satellite</w:t>
        </w:r>
      </w:hyperlink>
      <w:r>
        <w:t xml:space="preserve">.</w:t>
      </w:r>
      <w:r>
        <w:t xml:space="preserve"> </w:t>
      </w:r>
      <w:r>
        <w:rPr>
          <w:iCs/>
          <w:i/>
        </w:rPr>
        <w:t xml:space="preserve">Global Biogeochemical Cycles</w:t>
      </w:r>
      <w:r>
        <w:t xml:space="preserve">.</w:t>
      </w:r>
      <w:r>
        <w:t xml:space="preserve"> </w:t>
      </w:r>
      <w:r>
        <w:rPr>
          <w:bCs/>
          <w:b/>
        </w:rPr>
        <w:t xml:space="preserve">36</w:t>
      </w:r>
      <w:r>
        <w:t xml:space="preserve">, e2022GB007419 (2022).</w:t>
      </w:r>
    </w:p>
    <w:bookmarkEnd w:id="146"/>
    <w:bookmarkStart w:id="148" w:name="ref-caelVolumeMeanDepth2017"/>
    <w:p>
      <w:pPr>
        <w:pStyle w:val="Bibliography"/>
      </w:pPr>
      <w:r>
        <w:t xml:space="preserve">28.</w:t>
      </w:r>
      <w:r>
        <w:t xml:space="preserve"> </w:t>
      </w:r>
      <w:r>
        <w:t xml:space="preserve">	</w:t>
      </w:r>
      <w:r>
        <w:t xml:space="preserve">B. B. Cael, A. J. Heathcote, D. A. Seekell,</w:t>
      </w:r>
      <w:r>
        <w:t xml:space="preserve"> </w:t>
      </w:r>
      <w:hyperlink r:id="rId147">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48"/>
    <w:bookmarkStart w:id="149" w:name="ref-usepaCWAApprovedJDs"/>
    <w:p>
      <w:pPr>
        <w:pStyle w:val="Bibliography"/>
      </w:pPr>
      <w:r>
        <w:t xml:space="preserve">29.</w:t>
      </w:r>
      <w:r>
        <w:t xml:space="preserve"> </w:t>
      </w:r>
      <w:r>
        <w:t xml:space="preserve">	</w:t>
      </w:r>
      <w:r>
        <w:t xml:space="preserve">USEPA,</w:t>
      </w:r>
      <w:r>
        <w:t xml:space="preserve"> </w:t>
      </w:r>
      <w:r>
        <w:t xml:space="preserve">CWA Approved JDs</w:t>
      </w:r>
      <w:r>
        <w:t xml:space="preserve">.</w:t>
      </w:r>
    </w:p>
    <w:bookmarkEnd w:id="149"/>
    <w:bookmarkStart w:id="151" w:name="ref-dorneyChapterNorthCarolina2018"/>
    <w:p>
      <w:pPr>
        <w:pStyle w:val="Bibliography"/>
      </w:pPr>
      <w:r>
        <w:t xml:space="preserve">30.</w:t>
      </w:r>
      <w:r>
        <w:t xml:space="preserve"> </w:t>
      </w:r>
      <w:r>
        <w:t xml:space="preserve">	</w:t>
      </w:r>
      <w:r>
        <w:t xml:space="preserve">J. Dorney, P. Russell, "</w:t>
      </w:r>
      <w:hyperlink r:id="rId150">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51"/>
    <w:bookmarkStart w:id="153" w:name="X2337aecd0094a007a8bcba34627ebd6ea37b0ca"/>
    <w:p>
      <w:pPr>
        <w:pStyle w:val="Bibliography"/>
      </w:pPr>
      <w:r>
        <w:t xml:space="preserve">31.</w:t>
      </w:r>
      <w:r>
        <w:t xml:space="preserve"> </w:t>
      </w:r>
      <w:r>
        <w:t xml:space="preserve">	</w:t>
      </w:r>
      <w:r>
        <w:t xml:space="preserve">C. A. Krabbenhoft, G. H. Allen, P. Lin, S. E. Godsey, D. C. Allen, R. M. Burrows, A. G. DelVecchia, K. M. Fritz, M. Shanafield, A. J. Burgin, M. A. Zimmer, T. Datry, W. K. Dodds, C. N. Jones, M. C. Mims, C. Franklin, J. C. Hammond, S. Zipper, A. S. Ward, K. H. Costigan, H. E. Beck, J. D. Olden,</w:t>
      </w:r>
      <w:r>
        <w:t xml:space="preserve"> </w:t>
      </w:r>
      <w:hyperlink r:id="rId152">
        <w:r>
          <w:rPr>
            <w:rStyle w:val="Hyperlink"/>
          </w:rPr>
          <w:t xml:space="preserve">Assessing placement bias of the global river gauge network</w:t>
        </w:r>
      </w:hyperlink>
      <w:r>
        <w:t xml:space="preserve">.</w:t>
      </w:r>
      <w:r>
        <w:t xml:space="preserve"> </w:t>
      </w:r>
      <w:r>
        <w:rPr>
          <w:iCs/>
          <w:i/>
        </w:rPr>
        <w:t xml:space="preserve">Nature Sustainability</w:t>
      </w:r>
      <w:r>
        <w:t xml:space="preserve">.</w:t>
      </w:r>
      <w:r>
        <w:t xml:space="preserve"> </w:t>
      </w:r>
      <w:r>
        <w:rPr>
          <w:bCs/>
          <w:b/>
        </w:rPr>
        <w:t xml:space="preserve">5</w:t>
      </w:r>
      <w:r>
        <w:t xml:space="preserve">, 586–592 (2022).</w:t>
      </w:r>
    </w:p>
    <w:bookmarkEnd w:id="153"/>
    <w:bookmarkStart w:id="155" w:name="ref-zimmerZeroNotCauses2020"/>
    <w:p>
      <w:pPr>
        <w:pStyle w:val="Bibliography"/>
      </w:pPr>
      <w:r>
        <w:t xml:space="preserve">32.</w:t>
      </w:r>
      <w:r>
        <w:t xml:space="preserve"> </w:t>
      </w:r>
      <w:r>
        <w:t xml:space="preserve">	</w:t>
      </w:r>
      <w:r>
        <w:t xml:space="preserve">M. A. Zimmer, K. E. Kaiser, J. R. Blaszczak, S. C. Zipper, J. C. Hammond, K. M. Fritz, K. H. Costigan, J. Hosen, S. E. Godsey, G. H. Allen, S. Kampf, R. M. Burrows, C. A. Krabbenhoft, W. Dodds, R. Hale, J. D. Olden, M. Shanafield, A. G. DelVecchia, A. S. Ward, M. C. Mims, T. Datry, M. T. Bogan, K. S. Boersma, M. H. Busch, C. N. Jones, A. J. Burgin, D. C. Allen,</w:t>
      </w:r>
      <w:r>
        <w:t xml:space="preserve"> </w:t>
      </w:r>
      <w:hyperlink r:id="rId154">
        <w:r>
          <w:rPr>
            <w:rStyle w:val="Hyperlink"/>
          </w:rPr>
          <w:t xml:space="preserve">Zero or not?</w:t>
        </w:r>
        <w:r>
          <w:rPr>
            <w:rStyle w:val="Hyperlink"/>
          </w:rPr>
          <w:t xml:space="preserve"> </w:t>
        </w:r>
        <w:r>
          <w:rPr>
            <w:rStyle w:val="Hyperlink"/>
          </w:rPr>
          <w:t xml:space="preserve">Causes</w:t>
        </w:r>
        <w:r>
          <w:rPr>
            <w:rStyle w:val="Hyperlink"/>
          </w:rPr>
          <w:t xml:space="preserve"> </w:t>
        </w:r>
        <w:r>
          <w:rPr>
            <w:rStyle w:val="Hyperlink"/>
          </w:rPr>
          <w:t xml:space="preserve">and consequences of zero-flow stream gage readings</w:t>
        </w:r>
      </w:hyperlink>
      <w:r>
        <w:t xml:space="preserve">.</w:t>
      </w:r>
      <w:r>
        <w:t xml:space="preserve"> </w:t>
      </w:r>
      <w:r>
        <w:rPr>
          <w:iCs/>
          <w:i/>
        </w:rPr>
        <w:t xml:space="preserve">WIREs Water</w:t>
      </w:r>
      <w:r>
        <w:t xml:space="preserve">.</w:t>
      </w:r>
      <w:r>
        <w:t xml:space="preserve"> </w:t>
      </w:r>
      <w:r>
        <w:rPr>
          <w:bCs/>
          <w:b/>
        </w:rPr>
        <w:t xml:space="preserve">7</w:t>
      </w:r>
      <w:r>
        <w:t xml:space="preserve">, e1436 (2020).</w:t>
      </w:r>
    </w:p>
    <w:bookmarkEnd w:id="155"/>
    <w:bookmarkStart w:id="157" w:name="ref-fanGlobalPatternsGroundwater2013"/>
    <w:p>
      <w:pPr>
        <w:pStyle w:val="Bibliography"/>
      </w:pPr>
      <w:r>
        <w:t xml:space="preserve">33.</w:t>
      </w:r>
      <w:r>
        <w:t xml:space="preserve"> </w:t>
      </w:r>
      <w:r>
        <w:t xml:space="preserve">	</w:t>
      </w:r>
      <w:r>
        <w:t xml:space="preserve">Y. Fan, H. Li, G. Miguez-Macho,</w:t>
      </w:r>
      <w:r>
        <w:t xml:space="preserve"> </w:t>
      </w:r>
      <w:hyperlink r:id="rId156">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57"/>
    <w:bookmarkStart w:id="159" w:name="ref-condonGlobalGroundwaterModeling2021"/>
    <w:p>
      <w:pPr>
        <w:pStyle w:val="Bibliography"/>
      </w:pPr>
      <w:r>
        <w:t xml:space="preserve">34.</w:t>
      </w:r>
      <w:r>
        <w:t xml:space="preserve"> </w:t>
      </w:r>
      <w:r>
        <w:t xml:space="preserve">	</w:t>
      </w:r>
      <w:r>
        <w:t xml:space="preserve">L. E. Condon, S. Kollet, M. F. P. Bierkens, G. E. Fogg, R. M. Maxwell, M. C. Hill, H.-J. H. Fransen, A. Verhoef, A. F. Van Loon, M. Sulis, C. Abesser,</w:t>
      </w:r>
      <w:r>
        <w:t xml:space="preserve"> </w:t>
      </w:r>
      <w:hyperlink r:id="rId158">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59"/>
    <w:bookmarkStart w:id="161" w:name="Xf0d394597f0da4e235242052bdfec1d3094a598"/>
    <w:p>
      <w:pPr>
        <w:pStyle w:val="Bibliography"/>
      </w:pPr>
      <w:r>
        <w:t xml:space="preserve">35.</w:t>
      </w:r>
      <w:r>
        <w:t xml:space="preserve"> </w:t>
      </w:r>
      <w:r>
        <w:t xml:space="preserve">	</w:t>
      </w:r>
      <w:r>
        <w:t xml:space="preserve">I. E. M. de Graaf, E. H. Sutanudjaja, L. P. H. van Beek, M. F. P. Bierkens,</w:t>
      </w:r>
      <w:r>
        <w:t xml:space="preserve"> </w:t>
      </w:r>
      <w:hyperlink r:id="rId160">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61"/>
    <w:bookmarkStart w:id="163" w:name="ref-alloucheAssessingAccuracySpecies2006"/>
    <w:p>
      <w:pPr>
        <w:pStyle w:val="Bibliography"/>
      </w:pPr>
      <w:r>
        <w:t xml:space="preserve">36.</w:t>
      </w:r>
      <w:r>
        <w:t xml:space="preserve"> </w:t>
      </w:r>
      <w:r>
        <w:t xml:space="preserve">	</w:t>
      </w:r>
      <w:r>
        <w:t xml:space="preserve">O. Allouche, A. Tsoar, R. Kadmon,</w:t>
      </w:r>
      <w:r>
        <w:t xml:space="preserve"> </w:t>
      </w:r>
      <w:hyperlink r:id="rId162">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63"/>
    <w:bookmarkStart w:id="165" w:name="X05a5749bd228b14563299b19d2cbd353063e4ae"/>
    <w:p>
      <w:pPr>
        <w:pStyle w:val="Bibliography"/>
      </w:pPr>
      <w:r>
        <w:t xml:space="preserve">37.</w:t>
      </w:r>
      <w:r>
        <w:t xml:space="preserve"> </w:t>
      </w:r>
      <w:r>
        <w:t xml:space="preserve">	</w:t>
      </w:r>
      <w:r>
        <w:t xml:space="preserve">R. E. Horton,</w:t>
      </w:r>
      <w:r>
        <w:t xml:space="preserve"> </w:t>
      </w:r>
      <w:hyperlink r:id="rId164">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65"/>
    <w:bookmarkStart w:id="167" w:name="X3d08b4742ed7c77c4272d1146bb2d365e48a1af"/>
    <w:p>
      <w:pPr>
        <w:pStyle w:val="Bibliography"/>
      </w:pPr>
      <w:r>
        <w:t xml:space="preserve">38.</w:t>
      </w:r>
      <w:r>
        <w:t xml:space="preserve"> </w:t>
      </w:r>
      <w:r>
        <w:t xml:space="preserve">	</w:t>
      </w:r>
      <w:r>
        <w:t xml:space="preserve">J. W. Kirchner,</w:t>
      </w:r>
      <w:r>
        <w:t xml:space="preserve"> </w:t>
      </w:r>
      <w:hyperlink r:id="rId166">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67"/>
    <w:bookmarkStart w:id="169" w:name="X0d2d4949e36e17f84d208f123afdd607c72f4e3"/>
    <w:p>
      <w:pPr>
        <w:pStyle w:val="Bibliography"/>
      </w:pPr>
      <w:r>
        <w:t xml:space="preserve">39.</w:t>
      </w:r>
      <w:r>
        <w:t xml:space="preserve"> </w:t>
      </w:r>
      <w:r>
        <w:t xml:space="preserve">	</w:t>
      </w:r>
      <w:r>
        <w:t xml:space="preserve">L. E. Milton,</w:t>
      </w:r>
      <w:r>
        <w:t xml:space="preserve"> </w:t>
      </w:r>
      <w:hyperlink r:id="rId168">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69"/>
    <w:bookmarkStart w:id="171" w:name="X69ea26722979d0e8fb17cd92de3186ceabc8aa3"/>
    <w:p>
      <w:pPr>
        <w:pStyle w:val="Bibliography"/>
      </w:pPr>
      <w:r>
        <w:t xml:space="preserve">40.</w:t>
      </w:r>
      <w:r>
        <w:t xml:space="preserve"> </w:t>
      </w:r>
      <w:r>
        <w:t xml:space="preserve">	</w:t>
      </w:r>
      <w:r>
        <w:t xml:space="preserve">K. L. BOWDEN, J. R. WALLIS,</w:t>
      </w:r>
      <w:r>
        <w:t xml:space="preserve"> </w:t>
      </w:r>
      <w:hyperlink r:id="rId170">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71"/>
    <w:bookmarkStart w:id="173" w:name="X9dd1541a3cd539ab68cfac7d5b10670c5ebff33"/>
    <w:p>
      <w:pPr>
        <w:pStyle w:val="Bibliography"/>
      </w:pPr>
      <w:r>
        <w:t xml:space="preserve">41.</w:t>
      </w:r>
      <w:r>
        <w:t xml:space="preserve"> </w:t>
      </w:r>
      <w:r>
        <w:t xml:space="preserve">	</w:t>
      </w:r>
      <w:r>
        <w:t xml:space="preserve">M. A. Zimmer, B. L. McGlynn,</w:t>
      </w:r>
      <w:r>
        <w:t xml:space="preserve"> </w:t>
      </w:r>
      <w:hyperlink r:id="rId172">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73"/>
    <w:bookmarkStart w:id="175" w:name="ref-fritzCoarseParticulateOrganic2019"/>
    <w:p>
      <w:pPr>
        <w:pStyle w:val="Bibliography"/>
      </w:pPr>
      <w:r>
        <w:t xml:space="preserve">42.</w:t>
      </w:r>
      <w:r>
        <w:t xml:space="preserve"> </w:t>
      </w:r>
      <w:r>
        <w:t xml:space="preserve">	</w:t>
      </w:r>
      <w:r>
        <w:t xml:space="preserve">K. M. Fritz, G. J. Pond, B. R. Johnson, C. D. Barton,</w:t>
      </w:r>
      <w:r>
        <w:t xml:space="preserve"> </w:t>
      </w:r>
      <w:hyperlink r:id="rId174">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75"/>
    <w:bookmarkStart w:id="177" w:name="ref-kampfRainfallThresholdsFlow2018"/>
    <w:p>
      <w:pPr>
        <w:pStyle w:val="Bibliography"/>
      </w:pPr>
      <w:r>
        <w:t xml:space="preserve">43.</w:t>
      </w:r>
      <w:r>
        <w:t xml:space="preserve"> </w:t>
      </w:r>
      <w:r>
        <w:t xml:space="preserve">	</w:t>
      </w:r>
      <w:r>
        <w:t xml:space="preserve">S. K. Kampf, J. Faulconer, J. R. Shaw, M. Lefsky, J. W. Wagenbrenner, D. J. Cooper,</w:t>
      </w:r>
      <w:r>
        <w:t xml:space="preserve"> </w:t>
      </w:r>
      <w:hyperlink r:id="rId176">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77"/>
    <w:bookmarkStart w:id="179" w:name="ref-slaughterThirtyfiveYearsResearch2001"/>
    <w:p>
      <w:pPr>
        <w:pStyle w:val="Bibliography"/>
      </w:pPr>
      <w:r>
        <w:t xml:space="preserve">44.</w:t>
      </w:r>
      <w:r>
        <w:t xml:space="preserve"> </w:t>
      </w:r>
      <w:r>
        <w:t xml:space="preserve">	</w:t>
      </w:r>
      <w:r>
        <w:t xml:space="preserve">C. W. Slaughter, D. Marks, G. N. Flerchinger, S. S. Van Vactor, M. Burgess,</w:t>
      </w:r>
      <w:r>
        <w:t xml:space="preserve"> </w:t>
      </w:r>
      <w:hyperlink r:id="rId178">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79"/>
    <w:bookmarkStart w:id="181" w:name="ref-moranLongtermRemoteSensing2008"/>
    <w:p>
      <w:pPr>
        <w:pStyle w:val="Bibliography"/>
      </w:pPr>
      <w:r>
        <w:t xml:space="preserve">45.</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80">
        <w:r>
          <w:rPr>
            <w:rStyle w:val="Hyperlink"/>
          </w:rPr>
          <w:t xml:space="preserve">10.1029/2006WR005689</w:t>
        </w:r>
      </w:hyperlink>
      <w:r>
        <w:t xml:space="preserve">.</w:t>
      </w:r>
    </w:p>
    <w:bookmarkEnd w:id="181"/>
    <w:bookmarkStart w:id="183" w:name="Xb2d4d1fe9eb758e8acfabb72e7502bcf307e3c6"/>
    <w:p>
      <w:pPr>
        <w:pStyle w:val="Bibliography"/>
      </w:pPr>
      <w:r>
        <w:t xml:space="preserve">46.</w:t>
      </w:r>
      <w:r>
        <w:t xml:space="preserve"> </w:t>
      </w:r>
      <w:r>
        <w:t xml:space="preserve">	</w:t>
      </w:r>
      <w:r>
        <w:t xml:space="preserve">G. Schoener,</w:t>
      </w:r>
      <w:r>
        <w:t xml:space="preserve"> </w:t>
      </w:r>
      <w:hyperlink r:id="rId182">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83"/>
    <w:bookmarkStart w:id="185" w:name="Xf07d37056c03be0a69a0f1f7e193a60d0c9c5fe"/>
    <w:p>
      <w:pPr>
        <w:pStyle w:val="Bibliography"/>
      </w:pPr>
      <w:r>
        <w:t xml:space="preserve">47.</w:t>
      </w:r>
      <w:r>
        <w:t xml:space="preserve"> </w:t>
      </w:r>
      <w:r>
        <w:t xml:space="preserve">	</w:t>
      </w:r>
      <w:r>
        <w:t xml:space="preserve">J. C. Stromberg, D. L. Setaro, E. L. Gallo, K. A. Lohse, T. Meixner,</w:t>
      </w:r>
      <w:r>
        <w:t xml:space="preserve"> </w:t>
      </w:r>
      <w:hyperlink r:id="rId184">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85"/>
    <w:bookmarkStart w:id="187" w:name="Xe67f6aab4f53f3b4c73345cf68d164a55f32a4c"/>
    <w:p>
      <w:pPr>
        <w:pStyle w:val="Bibliography"/>
      </w:pPr>
      <w:r>
        <w:t xml:space="preserve">48.</w:t>
      </w:r>
      <w:r>
        <w:t xml:space="preserve"> </w:t>
      </w:r>
      <w:r>
        <w:t xml:space="preserve">	</w:t>
      </w:r>
      <w:r>
        <w:t xml:space="preserve">S. E. Peirce, J. B. Lindsay,</w:t>
      </w:r>
      <w:r>
        <w:t xml:space="preserve"> </w:t>
      </w:r>
      <w:hyperlink r:id="rId186">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87"/>
    <w:bookmarkStart w:id="189" w:name="X0591d176734b3bfa1724299d54436bac497c256"/>
    <w:p>
      <w:pPr>
        <w:pStyle w:val="Bibliography"/>
      </w:pPr>
      <w:r>
        <w:t xml:space="preserve">49.</w:t>
      </w:r>
      <w:r>
        <w:t xml:space="preserve"> </w:t>
      </w:r>
      <w:r>
        <w:t xml:space="preserve">	</w:t>
      </w:r>
      <w:r>
        <w:t xml:space="preserve">K. M. Fritz, S. Fulton, B. R. Johnson, C. D. Barton, J. D. Jack, D. A. Word, R. A. Burke,</w:t>
      </w:r>
      <w:r>
        <w:t xml:space="preserve"> </w:t>
      </w:r>
      <w:hyperlink r:id="rId188">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89"/>
    <w:bookmarkStart w:id="190" w:name="ref-winterGroundWaterSurface1999"/>
    <w:p>
      <w:pPr>
        <w:pStyle w:val="Bibliography"/>
      </w:pPr>
      <w:r>
        <w:t xml:space="preserve">50.</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90"/>
    <w:bookmarkStart w:id="192" w:name="Xafd828cdf0e083d8a46d91f0770d38017e3ad81"/>
    <w:p>
      <w:pPr>
        <w:pStyle w:val="Bibliography"/>
      </w:pPr>
      <w:r>
        <w:t xml:space="preserve">51.</w:t>
      </w:r>
      <w:r>
        <w:t xml:space="preserve"> </w:t>
      </w:r>
      <w:r>
        <w:t xml:space="preserve">	</w:t>
      </w:r>
      <w:r>
        <w:t xml:space="preserve">M. A. Zimmer, B. L. McGlynn,</w:t>
      </w:r>
      <w:r>
        <w:t xml:space="preserve"> </w:t>
      </w:r>
      <w:hyperlink r:id="rId191">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92"/>
    <w:bookmarkStart w:id="194" w:name="ref-allenSimilarityStreamWidth2018a"/>
    <w:p>
      <w:pPr>
        <w:pStyle w:val="Bibliography"/>
      </w:pPr>
      <w:r>
        <w:t xml:space="preserve">52.</w:t>
      </w:r>
      <w:r>
        <w:t xml:space="preserve"> </w:t>
      </w:r>
      <w:r>
        <w:t xml:space="preserve">	</w:t>
      </w:r>
      <w:r>
        <w:t xml:space="preserve">G. H. Allen, T. M. Pavelsky, E. A. Barefoot, M. P. Lamb, D. Butman, A. Tashie, C. J. Gleason,</w:t>
      </w:r>
      <w:r>
        <w:t xml:space="preserve"> </w:t>
      </w:r>
      <w:hyperlink r:id="rId193">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94"/>
    <w:bookmarkStart w:id="196" w:name="ref-mogesStrengthMemoryPrecipitation2022"/>
    <w:p>
      <w:pPr>
        <w:pStyle w:val="Bibliography"/>
      </w:pPr>
      <w:r>
        <w:t xml:space="preserve">53.</w:t>
      </w:r>
      <w:r>
        <w:t xml:space="preserve"> </w:t>
      </w:r>
      <w:r>
        <w:t xml:space="preserve">	</w:t>
      </w:r>
      <w:r>
        <w:t xml:space="preserve">E. Moges, B. L. Ruddell, L. Zhang, J. M. Driscoll, L. G. Larsen,</w:t>
      </w:r>
      <w:r>
        <w:t xml:space="preserve"> </w:t>
      </w:r>
      <w:hyperlink r:id="rId195">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96"/>
    <w:bookmarkStart w:id="198" w:name="ref-zanardoAreAmericanRivers2013"/>
    <w:p>
      <w:pPr>
        <w:pStyle w:val="Bibliography"/>
      </w:pPr>
      <w:r>
        <w:t xml:space="preserve">54.</w:t>
      </w:r>
      <w:r>
        <w:t xml:space="preserve"> </w:t>
      </w:r>
      <w:r>
        <w:t xml:space="preserve">	</w:t>
      </w:r>
      <w:r>
        <w:t xml:space="preserve">S. Zanardo, I. Zaliapin, E. Foufoula-Georgiou,</w:t>
      </w:r>
      <w:r>
        <w:t xml:space="preserve"> </w:t>
      </w:r>
      <w:hyperlink r:id="rId197">
        <w:r>
          <w:rPr>
            <w:rStyle w:val="Hyperlink"/>
          </w:rPr>
          <w:t xml:space="preserve">Are</w:t>
        </w:r>
        <w:r>
          <w:rPr>
            <w:rStyle w:val="Hyperlink"/>
          </w:rPr>
          <w:t xml:space="preserve"> </w:t>
        </w:r>
        <w:r>
          <w:rPr>
            <w:rStyle w:val="Hyperlink"/>
          </w:rPr>
          <w:t xml:space="preserve">American</w:t>
        </w:r>
        <w:r>
          <w:rPr>
            <w:rStyle w:val="Hyperlink"/>
          </w:rPr>
          <w:t xml:space="preserve"> </w:t>
        </w:r>
        <w:r>
          <w:rPr>
            <w:rStyle w:val="Hyperlink"/>
          </w:rPr>
          <w:t xml:space="preserve">rivers</w:t>
        </w:r>
        <w:r>
          <w:rPr>
            <w:rStyle w:val="Hyperlink"/>
          </w:rPr>
          <w:t xml:space="preserve"> </w:t>
        </w:r>
        <w:r>
          <w:rPr>
            <w:rStyle w:val="Hyperlink"/>
          </w:rPr>
          <w:t xml:space="preserve">Tokunaga</w:t>
        </w:r>
        <w:r>
          <w:rPr>
            <w:rStyle w:val="Hyperlink"/>
          </w:rPr>
          <w:t xml:space="preserve"> </w:t>
        </w:r>
        <w:r>
          <w:rPr>
            <w:rStyle w:val="Hyperlink"/>
          </w:rPr>
          <w:t xml:space="preserve">self-similar?</w:t>
        </w:r>
        <w:r>
          <w:rPr>
            <w:rStyle w:val="Hyperlink"/>
          </w:rPr>
          <w:t xml:space="preserve"> </w:t>
        </w:r>
        <w:r>
          <w:rPr>
            <w:rStyle w:val="Hyperlink"/>
          </w:rPr>
          <w:t xml:space="preserve">New</w:t>
        </w:r>
        <w:r>
          <w:rPr>
            <w:rStyle w:val="Hyperlink"/>
          </w:rPr>
          <w:t xml:space="preserve"> </w:t>
        </w:r>
        <w:r>
          <w:rPr>
            <w:rStyle w:val="Hyperlink"/>
          </w:rPr>
          <w:t xml:space="preserve">results on fluvial network topology and its climatic dependence</w:t>
        </w:r>
      </w:hyperlink>
      <w:r>
        <w:t xml:space="preserve">.</w:t>
      </w:r>
      <w:r>
        <w:t xml:space="preserve"> </w:t>
      </w:r>
      <w:r>
        <w:rPr>
          <w:iCs/>
          <w:i/>
        </w:rPr>
        <w:t xml:space="preserve">Journal of Geophysical Research: Earth Surface</w:t>
      </w:r>
      <w:r>
        <w:t xml:space="preserve">.</w:t>
      </w:r>
      <w:r>
        <w:t xml:space="preserve"> </w:t>
      </w:r>
      <w:r>
        <w:rPr>
          <w:bCs/>
          <w:b/>
        </w:rPr>
        <w:t xml:space="preserve">118</w:t>
      </w:r>
      <w:r>
        <w:t xml:space="preserve">, 166–183 (2013).</w:t>
      </w:r>
    </w:p>
    <w:bookmarkEnd w:id="198"/>
    <w:bookmarkStart w:id="200" w:name="ref-dewitzNationalLandCover2021"/>
    <w:p>
      <w:pPr>
        <w:pStyle w:val="Bibliography"/>
      </w:pPr>
      <w:r>
        <w:t xml:space="preserve">55.</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99">
        <w:r>
          <w:rPr>
            <w:rStyle w:val="Hyperlink"/>
          </w:rPr>
          <w:t xml:space="preserve">10.5066/P9KZCM54</w:t>
        </w:r>
      </w:hyperlink>
      <w:r>
        <w:t xml:space="preserve">.</w:t>
      </w:r>
    </w:p>
    <w:bookmarkEnd w:id="200"/>
    <w:bookmarkStart w:id="202" w:name="ref-chenAssessingObjectiveTechniques2008"/>
    <w:p>
      <w:pPr>
        <w:pStyle w:val="Bibliography"/>
      </w:pPr>
      <w:r>
        <w:t xml:space="preserve">56.</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201">
        <w:r>
          <w:rPr>
            <w:rStyle w:val="Hyperlink"/>
          </w:rPr>
          <w:t xml:space="preserve">10.1029/2007JD009132</w:t>
        </w:r>
      </w:hyperlink>
      <w:r>
        <w:t xml:space="preserve">.</w:t>
      </w:r>
    </w:p>
    <w:bookmarkEnd w:id="202"/>
    <w:bookmarkEnd w:id="203"/>
    <w:bookmarkEnd w:id="204"/>
    <w:bookmarkEnd w:id="205"/>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6" Target="media/rId76.jpg" /><Relationship Type="http://schemas.openxmlformats.org/officeDocument/2006/relationships/image" Id="rId70" Target="media/rId70.jpg" /><Relationship Type="http://schemas.openxmlformats.org/officeDocument/2006/relationships/image" Id="rId85" Target="media/rId85.jpg" /><Relationship Type="http://schemas.openxmlformats.org/officeDocument/2006/relationships/image" Id="rId91" Target="media/rId91.jpg" /><Relationship Type="http://schemas.openxmlformats.org/officeDocument/2006/relationships/image" Id="rId88" Target="media/rId88.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82" Target="media/rId82.jpg" /><Relationship Type="http://schemas.openxmlformats.org/officeDocument/2006/relationships/image" Id="rId73" Target="media/rId73.jpg" /><Relationship Type="http://schemas.openxmlformats.org/officeDocument/2006/relationships/image" Id="rId79" Target="media/rId79.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1" Target="media/rId61.jpg" /><Relationship Type="http://schemas.openxmlformats.org/officeDocument/2006/relationships/image" Id="rId39" Target="media/rId39.jpg" /><Relationship Type="http://schemas.openxmlformats.org/officeDocument/2006/relationships/hyperlink" Id="rId139" Target="https://doi.org/10.1002/2014WR016774" TargetMode="External" /><Relationship Type="http://schemas.openxmlformats.org/officeDocument/2006/relationships/hyperlink" Id="rId147" Target="https://doi.org/10.1002/2016GL071378" TargetMode="External" /><Relationship Type="http://schemas.openxmlformats.org/officeDocument/2006/relationships/hyperlink" Id="rId191" Target="https://doi.org/10.1002/2017WR021718" TargetMode="External" /><Relationship Type="http://schemas.openxmlformats.org/officeDocument/2006/relationships/hyperlink" Id="rId174" Target="https://doi.org/10.1002/ecs2.2654" TargetMode="External" /><Relationship Type="http://schemas.openxmlformats.org/officeDocument/2006/relationships/hyperlink" Id="rId186" Target="https://doi.org/10.1002/hyp.10136" TargetMode="External" /><Relationship Type="http://schemas.openxmlformats.org/officeDocument/2006/relationships/hyperlink" Id="rId172" Target="https://doi.org/10.1002/hyp.11301" TargetMode="External" /><Relationship Type="http://schemas.openxmlformats.org/officeDocument/2006/relationships/hyperlink" Id="rId154" Target="https://doi.org/10.1002/wat2.1436" TargetMode="External" /><Relationship Type="http://schemas.openxmlformats.org/officeDocument/2006/relationships/hyperlink" Id="rId150" Target="https://doi.org/10.1016/B978-0-12-805091-0.00014-1" TargetMode="External" /><Relationship Type="http://schemas.openxmlformats.org/officeDocument/2006/relationships/hyperlink" Id="rId182" Target="https://doi.org/10.1016/j.ejrh.2022.101089" TargetMode="External" /><Relationship Type="http://schemas.openxmlformats.org/officeDocument/2006/relationships/hyperlink" Id="rId113" Target="https://doi.org/10.1016/j.hydroa.2018.100005" TargetMode="External" /><Relationship Type="http://schemas.openxmlformats.org/officeDocument/2006/relationships/hyperlink" Id="rId184" Target="https://doi.org/10.1016/j.jaridenv.2016.12.004" TargetMode="External" /><Relationship Type="http://schemas.openxmlformats.org/officeDocument/2006/relationships/hyperlink" Id="rId99" Target="https://doi.org/10.1016/j.watres.2011.02.011" TargetMode="External" /><Relationship Type="http://schemas.openxmlformats.org/officeDocument/2006/relationships/hyperlink" Id="rId101" Target="https://doi.org/10.1021/acs.est.7b02368" TargetMode="External" /><Relationship Type="http://schemas.openxmlformats.org/officeDocument/2006/relationships/hyperlink" Id="rId178" Target="https://doi.org/10.1029/2001WR000413" TargetMode="External" /><Relationship Type="http://schemas.openxmlformats.org/officeDocument/2006/relationships/hyperlink" Id="rId180" Target="https://doi.org/10.1029/2006WR005689" TargetMode="External" /><Relationship Type="http://schemas.openxmlformats.org/officeDocument/2006/relationships/hyperlink" Id="rId201" Target="https://doi.org/10.1029/2007JD009132" TargetMode="External" /><Relationship Type="http://schemas.openxmlformats.org/officeDocument/2006/relationships/hyperlink" Id="rId137" Target="https://doi.org/10.1029/2010GL046427" TargetMode="External" /><Relationship Type="http://schemas.openxmlformats.org/officeDocument/2006/relationships/hyperlink" Id="rId197" Target="https://doi.org/10.1029/2012JF002392" TargetMode="External" /><Relationship Type="http://schemas.openxmlformats.org/officeDocument/2006/relationships/hyperlink" Id="rId176" Target="https://doi.org/10.1029/2018WR023714" TargetMode="External" /><Relationship Type="http://schemas.openxmlformats.org/officeDocument/2006/relationships/hyperlink" Id="rId135" Target="https://doi.org/10.1029/2020GL090068" TargetMode="External" /><Relationship Type="http://schemas.openxmlformats.org/officeDocument/2006/relationships/hyperlink" Id="rId158" Target="https://doi.org/10.1029/2020WR029500" TargetMode="External" /><Relationship Type="http://schemas.openxmlformats.org/officeDocument/2006/relationships/hyperlink" Id="rId195" Target="https://doi.org/10.1029/2021WR030186" TargetMode="External" /><Relationship Type="http://schemas.openxmlformats.org/officeDocument/2006/relationships/hyperlink" Id="rId115" Target="https://doi.org/10.1029/2021WR031344" TargetMode="External" /><Relationship Type="http://schemas.openxmlformats.org/officeDocument/2006/relationships/hyperlink" Id="rId145" Target="https://doi.org/10.1029/2022GB007419" TargetMode="External" /><Relationship Type="http://schemas.openxmlformats.org/officeDocument/2006/relationships/hyperlink" Id="rId193" Target="https://doi.org/10.1038/s41467-018-02991-w" TargetMode="External" /><Relationship Type="http://schemas.openxmlformats.org/officeDocument/2006/relationships/hyperlink" Id="rId103" Target="https://doi.org/10.1038/s41561-021-00793-2" TargetMode="External" /><Relationship Type="http://schemas.openxmlformats.org/officeDocument/2006/relationships/hyperlink" Id="rId111" Target="https://doi.org/10.1038/s41586-021-03565-5" TargetMode="External" /><Relationship Type="http://schemas.openxmlformats.org/officeDocument/2006/relationships/hyperlink" Id="rId152" Target="https://doi.org/10.1038/s41893-022-00873-0" TargetMode="External" /><Relationship Type="http://schemas.openxmlformats.org/officeDocument/2006/relationships/hyperlink" Id="rId143" Target="https://doi.org/10.1073/pnas.1200311109" TargetMode="External" /><Relationship Type="http://schemas.openxmlformats.org/officeDocument/2006/relationships/hyperlink" Id="rId128" Target="https://doi.org/10.1073/pnas.1712381114" TargetMode="External" /><Relationship Type="http://schemas.openxmlformats.org/officeDocument/2006/relationships/hyperlink" Id="rId119" Target="https://doi.org/10.1086/713084" TargetMode="External" /><Relationship Type="http://schemas.openxmlformats.org/officeDocument/2006/relationships/hyperlink" Id="rId109" Target="https://doi.org/10.1093/qje/qjy019" TargetMode="External" /><Relationship Type="http://schemas.openxmlformats.org/officeDocument/2006/relationships/hyperlink" Id="rId105" Target="https://doi.org/10.1111/1752-1688.12630" TargetMode="External" /><Relationship Type="http://schemas.openxmlformats.org/officeDocument/2006/relationships/hyperlink" Id="rId123" Target="https://doi.org/10.1111/1752-1688.12632" TargetMode="External" /><Relationship Type="http://schemas.openxmlformats.org/officeDocument/2006/relationships/hyperlink" Id="rId141" Target="https://doi.org/10.1111/1752-1688.12636" TargetMode="External" /><Relationship Type="http://schemas.openxmlformats.org/officeDocument/2006/relationships/hyperlink" Id="rId107" Target="https://doi.org/10.1111/1752-1688.12691" TargetMode="External" /><Relationship Type="http://schemas.openxmlformats.org/officeDocument/2006/relationships/hyperlink" Id="rId162" Target="https://doi.org/10.1111/j.1365-2664.2006.01214.x" TargetMode="External" /><Relationship Type="http://schemas.openxmlformats.org/officeDocument/2006/relationships/hyperlink" Id="rId168" Target="https://doi.org/10.1111/j.1467-8470.1966.tb00055.x" TargetMode="External" /><Relationship Type="http://schemas.openxmlformats.org/officeDocument/2006/relationships/hyperlink" Id="rId121" Target="https://doi.org/10.1111/j.1752-1688.2007.00005.x" TargetMode="External" /><Relationship Type="http://schemas.openxmlformats.org/officeDocument/2006/relationships/hyperlink" Id="rId131" Target="https://doi.org/10.1111/j.1752-1688.2011.00578.x" TargetMode="External" /><Relationship Type="http://schemas.openxmlformats.org/officeDocument/2006/relationships/hyperlink" Id="rId117" Target="https://doi.org/10.1111/jawr.12250" TargetMode="External" /><Relationship Type="http://schemas.openxmlformats.org/officeDocument/2006/relationships/hyperlink" Id="rId156" Target="https://doi.org/10.1126/science.1229881" TargetMode="External" /><Relationship Type="http://schemas.openxmlformats.org/officeDocument/2006/relationships/hyperlink" Id="rId125" Target="https://doi.org/10.1126/science.abb6899" TargetMode="External" /><Relationship Type="http://schemas.openxmlformats.org/officeDocument/2006/relationships/hyperlink" Id="rId164" Target="https://doi.org/10.1130/0016-7606(1945)56[275:EDOSAT]2.0.CO;2" TargetMode="External" /><Relationship Type="http://schemas.openxmlformats.org/officeDocument/2006/relationships/hyperlink" Id="rId170" Target="https://doi.org/10.1130/0016-7606(1964)75[767:EOSTOH]2.0.CO;2" TargetMode="External" /><Relationship Type="http://schemas.openxmlformats.org/officeDocument/2006/relationships/hyperlink" Id="rId166" Target="https://doi.org/10.1130/0091-7613(1993)021&lt;0591:SIOHSL&gt;2.3.CO;2" TargetMode="External" /><Relationship Type="http://schemas.openxmlformats.org/officeDocument/2006/relationships/hyperlink" Id="rId133" Target="https://doi.org/10.1175/JHM583.1" TargetMode="External" /><Relationship Type="http://schemas.openxmlformats.org/officeDocument/2006/relationships/hyperlink" Id="rId97" Target="https://doi.org/10.1890/14-1684.1" TargetMode="External" /><Relationship Type="http://schemas.openxmlformats.org/officeDocument/2006/relationships/hyperlink" Id="rId188" Target="https://doi.org/10.1899/09-060.1" TargetMode="External" /><Relationship Type="http://schemas.openxmlformats.org/officeDocument/2006/relationships/hyperlink" Id="rId199" Target="https://doi.org/10.5066/P9KZCM54" TargetMode="External" /><Relationship Type="http://schemas.openxmlformats.org/officeDocument/2006/relationships/hyperlink" Id="rId160"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39" Target="https://doi.org/10.1002/2014WR016774" TargetMode="External" /><Relationship Type="http://schemas.openxmlformats.org/officeDocument/2006/relationships/hyperlink" Id="rId147" Target="https://doi.org/10.1002/2016GL071378" TargetMode="External" /><Relationship Type="http://schemas.openxmlformats.org/officeDocument/2006/relationships/hyperlink" Id="rId191" Target="https://doi.org/10.1002/2017WR021718" TargetMode="External" /><Relationship Type="http://schemas.openxmlformats.org/officeDocument/2006/relationships/hyperlink" Id="rId174" Target="https://doi.org/10.1002/ecs2.2654" TargetMode="External" /><Relationship Type="http://schemas.openxmlformats.org/officeDocument/2006/relationships/hyperlink" Id="rId186" Target="https://doi.org/10.1002/hyp.10136" TargetMode="External" /><Relationship Type="http://schemas.openxmlformats.org/officeDocument/2006/relationships/hyperlink" Id="rId172" Target="https://doi.org/10.1002/hyp.11301" TargetMode="External" /><Relationship Type="http://schemas.openxmlformats.org/officeDocument/2006/relationships/hyperlink" Id="rId154" Target="https://doi.org/10.1002/wat2.1436" TargetMode="External" /><Relationship Type="http://schemas.openxmlformats.org/officeDocument/2006/relationships/hyperlink" Id="rId150" Target="https://doi.org/10.1016/B978-0-12-805091-0.00014-1" TargetMode="External" /><Relationship Type="http://schemas.openxmlformats.org/officeDocument/2006/relationships/hyperlink" Id="rId182" Target="https://doi.org/10.1016/j.ejrh.2022.101089" TargetMode="External" /><Relationship Type="http://schemas.openxmlformats.org/officeDocument/2006/relationships/hyperlink" Id="rId113" Target="https://doi.org/10.1016/j.hydroa.2018.100005" TargetMode="External" /><Relationship Type="http://schemas.openxmlformats.org/officeDocument/2006/relationships/hyperlink" Id="rId184" Target="https://doi.org/10.1016/j.jaridenv.2016.12.004" TargetMode="External" /><Relationship Type="http://schemas.openxmlformats.org/officeDocument/2006/relationships/hyperlink" Id="rId99" Target="https://doi.org/10.1016/j.watres.2011.02.011" TargetMode="External" /><Relationship Type="http://schemas.openxmlformats.org/officeDocument/2006/relationships/hyperlink" Id="rId101" Target="https://doi.org/10.1021/acs.est.7b02368" TargetMode="External" /><Relationship Type="http://schemas.openxmlformats.org/officeDocument/2006/relationships/hyperlink" Id="rId178" Target="https://doi.org/10.1029/2001WR000413" TargetMode="External" /><Relationship Type="http://schemas.openxmlformats.org/officeDocument/2006/relationships/hyperlink" Id="rId180" Target="https://doi.org/10.1029/2006WR005689" TargetMode="External" /><Relationship Type="http://schemas.openxmlformats.org/officeDocument/2006/relationships/hyperlink" Id="rId201" Target="https://doi.org/10.1029/2007JD009132" TargetMode="External" /><Relationship Type="http://schemas.openxmlformats.org/officeDocument/2006/relationships/hyperlink" Id="rId137" Target="https://doi.org/10.1029/2010GL046427" TargetMode="External" /><Relationship Type="http://schemas.openxmlformats.org/officeDocument/2006/relationships/hyperlink" Id="rId197" Target="https://doi.org/10.1029/2012JF002392" TargetMode="External" /><Relationship Type="http://schemas.openxmlformats.org/officeDocument/2006/relationships/hyperlink" Id="rId176" Target="https://doi.org/10.1029/2018WR023714" TargetMode="External" /><Relationship Type="http://schemas.openxmlformats.org/officeDocument/2006/relationships/hyperlink" Id="rId135" Target="https://doi.org/10.1029/2020GL090068" TargetMode="External" /><Relationship Type="http://schemas.openxmlformats.org/officeDocument/2006/relationships/hyperlink" Id="rId158" Target="https://doi.org/10.1029/2020WR029500" TargetMode="External" /><Relationship Type="http://schemas.openxmlformats.org/officeDocument/2006/relationships/hyperlink" Id="rId195" Target="https://doi.org/10.1029/2021WR030186" TargetMode="External" /><Relationship Type="http://schemas.openxmlformats.org/officeDocument/2006/relationships/hyperlink" Id="rId115" Target="https://doi.org/10.1029/2021WR031344" TargetMode="External" /><Relationship Type="http://schemas.openxmlformats.org/officeDocument/2006/relationships/hyperlink" Id="rId145" Target="https://doi.org/10.1029/2022GB007419" TargetMode="External" /><Relationship Type="http://schemas.openxmlformats.org/officeDocument/2006/relationships/hyperlink" Id="rId193" Target="https://doi.org/10.1038/s41467-018-02991-w" TargetMode="External" /><Relationship Type="http://schemas.openxmlformats.org/officeDocument/2006/relationships/hyperlink" Id="rId103" Target="https://doi.org/10.1038/s41561-021-00793-2" TargetMode="External" /><Relationship Type="http://schemas.openxmlformats.org/officeDocument/2006/relationships/hyperlink" Id="rId111" Target="https://doi.org/10.1038/s41586-021-03565-5" TargetMode="External" /><Relationship Type="http://schemas.openxmlformats.org/officeDocument/2006/relationships/hyperlink" Id="rId152" Target="https://doi.org/10.1038/s41893-022-00873-0" TargetMode="External" /><Relationship Type="http://schemas.openxmlformats.org/officeDocument/2006/relationships/hyperlink" Id="rId143" Target="https://doi.org/10.1073/pnas.1200311109" TargetMode="External" /><Relationship Type="http://schemas.openxmlformats.org/officeDocument/2006/relationships/hyperlink" Id="rId128" Target="https://doi.org/10.1073/pnas.1712381114" TargetMode="External" /><Relationship Type="http://schemas.openxmlformats.org/officeDocument/2006/relationships/hyperlink" Id="rId119" Target="https://doi.org/10.1086/713084" TargetMode="External" /><Relationship Type="http://schemas.openxmlformats.org/officeDocument/2006/relationships/hyperlink" Id="rId109" Target="https://doi.org/10.1093/qje/qjy019" TargetMode="External" /><Relationship Type="http://schemas.openxmlformats.org/officeDocument/2006/relationships/hyperlink" Id="rId105" Target="https://doi.org/10.1111/1752-1688.12630" TargetMode="External" /><Relationship Type="http://schemas.openxmlformats.org/officeDocument/2006/relationships/hyperlink" Id="rId123" Target="https://doi.org/10.1111/1752-1688.12632" TargetMode="External" /><Relationship Type="http://schemas.openxmlformats.org/officeDocument/2006/relationships/hyperlink" Id="rId141" Target="https://doi.org/10.1111/1752-1688.12636" TargetMode="External" /><Relationship Type="http://schemas.openxmlformats.org/officeDocument/2006/relationships/hyperlink" Id="rId107" Target="https://doi.org/10.1111/1752-1688.12691" TargetMode="External" /><Relationship Type="http://schemas.openxmlformats.org/officeDocument/2006/relationships/hyperlink" Id="rId162" Target="https://doi.org/10.1111/j.1365-2664.2006.01214.x" TargetMode="External" /><Relationship Type="http://schemas.openxmlformats.org/officeDocument/2006/relationships/hyperlink" Id="rId168" Target="https://doi.org/10.1111/j.1467-8470.1966.tb00055.x" TargetMode="External" /><Relationship Type="http://schemas.openxmlformats.org/officeDocument/2006/relationships/hyperlink" Id="rId121" Target="https://doi.org/10.1111/j.1752-1688.2007.00005.x" TargetMode="External" /><Relationship Type="http://schemas.openxmlformats.org/officeDocument/2006/relationships/hyperlink" Id="rId131" Target="https://doi.org/10.1111/j.1752-1688.2011.00578.x" TargetMode="External" /><Relationship Type="http://schemas.openxmlformats.org/officeDocument/2006/relationships/hyperlink" Id="rId117" Target="https://doi.org/10.1111/jawr.12250" TargetMode="External" /><Relationship Type="http://schemas.openxmlformats.org/officeDocument/2006/relationships/hyperlink" Id="rId156" Target="https://doi.org/10.1126/science.1229881" TargetMode="External" /><Relationship Type="http://schemas.openxmlformats.org/officeDocument/2006/relationships/hyperlink" Id="rId125" Target="https://doi.org/10.1126/science.abb6899" TargetMode="External" /><Relationship Type="http://schemas.openxmlformats.org/officeDocument/2006/relationships/hyperlink" Id="rId164" Target="https://doi.org/10.1130/0016-7606(1945)56[275:EDOSAT]2.0.CO;2" TargetMode="External" /><Relationship Type="http://schemas.openxmlformats.org/officeDocument/2006/relationships/hyperlink" Id="rId170" Target="https://doi.org/10.1130/0016-7606(1964)75[767:EOSTOH]2.0.CO;2" TargetMode="External" /><Relationship Type="http://schemas.openxmlformats.org/officeDocument/2006/relationships/hyperlink" Id="rId166" Target="https://doi.org/10.1130/0091-7613(1993)021&lt;0591:SIOHSL&gt;2.3.CO;2" TargetMode="External" /><Relationship Type="http://schemas.openxmlformats.org/officeDocument/2006/relationships/hyperlink" Id="rId133" Target="https://doi.org/10.1175/JHM583.1" TargetMode="External" /><Relationship Type="http://schemas.openxmlformats.org/officeDocument/2006/relationships/hyperlink" Id="rId97" Target="https://doi.org/10.1890/14-1684.1" TargetMode="External" /><Relationship Type="http://schemas.openxmlformats.org/officeDocument/2006/relationships/hyperlink" Id="rId188" Target="https://doi.org/10.1899/09-060.1" TargetMode="External" /><Relationship Type="http://schemas.openxmlformats.org/officeDocument/2006/relationships/hyperlink" Id="rId199" Target="https://doi.org/10.5066/P9KZCM54" TargetMode="External" /><Relationship Type="http://schemas.openxmlformats.org/officeDocument/2006/relationships/hyperlink" Id="rId160"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Kotchen2, Doug Kysar3, and Peter A Raymond2</dc:creator>
  <cp:keywords/>
  <dcterms:created xsi:type="dcterms:W3CDTF">2022-11-17T22:42:01Z</dcterms:created>
  <dcterms:modified xsi:type="dcterms:W3CDTF">2022-11-17T22:42:01Z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